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p>
      <w:pPr>
        <w:ind w:left="0" w:right="0" w:firstLine="0"/>
        <w:jc w:val="both"/>
        <w:spacing w:before="0" w:after="0" w:line="312" w:lineRule="atLeast"/>
        <w:rPr>
          <w:color w:val="auto"/>
        </w:rPr>
        <w:pBdr>
          <w:top w:val="none" w:color="000000" w:sz="4" w:space="0"/>
          <w:left w:val="none" w:color="000000" w:sz="4" w:space="0"/>
          <w:bottom w:val="none" w:color="000000" w:sz="4" w:space="0"/>
          <w:right w:val="none" w:color="000000" w:sz="4" w:space="0"/>
        </w:pBdr>
      </w:pPr>
      <w:r>
        <w:rPr>
          <w:color w:val="auto"/>
        </w:rPr>
      </w:r>
      <w:r>
        <w:rPr>
          <w:color w:val="auto"/>
        </w:rPr>
        <mc:AlternateContent>
          <mc:Choice Requires="wpg">
            <w:drawing>
              <wp:inline xmlns:wp="http://schemas.openxmlformats.org/drawingml/2006/wordprocessingDrawing" distT="0" distB="0" distL="0" distR="0">
                <wp:extent cx="1733550" cy="11811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066598" name=""/>
                        <pic:cNvPicPr>
                          <a:picLocks noChangeAspect="1"/>
                        </pic:cNvPicPr>
                        <pic:nvPr/>
                      </pic:nvPicPr>
                      <pic:blipFill>
                        <a:blip r:embed="rId9"/>
                        <a:stretch/>
                      </pic:blipFill>
                      <pic:spPr bwMode="auto">
                        <a:xfrm>
                          <a:off x="0" y="0"/>
                          <a:ext cx="1733549" cy="11810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6.5pt;height:93.0pt;mso-wrap-distance-left:0.0pt;mso-wrap-distance-top:0.0pt;mso-wrap-distance-right:0.0pt;mso-wrap-distance-bottom:0.0pt;" stroked="false">
                <v:path textboxrect="0,0,0,0"/>
                <v:imagedata r:id="rId9" o:title=""/>
              </v:shape>
            </w:pict>
          </mc:Fallback>
        </mc:AlternateContent>
      </w:r>
      <w:r>
        <w:rPr>
          <w:rFonts w:ascii="SimSun" w:hAnsi="SimSun" w:eastAsia="SimSun" w:cs="SimSun"/>
          <w:color w:val="auto"/>
          <w:spacing w:val="76"/>
          <w:sz w:val="144"/>
        </w:rPr>
        <w:t xml:space="preserve"> </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76"/>
          <w:sz w:val="96"/>
        </w:rPr>
        <w:t xml:space="preserve">招</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76"/>
          <w:sz w:val="96"/>
        </w:rPr>
        <w:t xml:space="preserve">标</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76"/>
          <w:sz w:val="96"/>
        </w:rPr>
        <w:t xml:space="preserve">文</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76"/>
          <w:sz w:val="96"/>
        </w:rPr>
        <w:t xml:space="preserve">件</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rPr>
        <w:t xml:space="preserve"> </w:t>
      </w:r>
      <w:r>
        <w:rPr>
          <w:color w:val="auto"/>
        </w:rPr>
      </w:r>
      <w:r/>
    </w:p>
    <w:p>
      <w:pPr>
        <w:ind w:left="1600" w:right="0" w:hanging="160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rPr>
        <w:t xml:space="preserve">项目名称：淮海战役</w:t>
      </w:r>
      <w:r>
        <w:rPr>
          <w:rFonts w:ascii="Times New Roman" w:hAnsi="Times New Roman" w:eastAsia="Times New Roman" w:cs="Times New Roman"/>
          <w:color w:val="auto"/>
          <w:sz w:val="32"/>
        </w:rPr>
        <w:t xml:space="preserve">3D</w:t>
      </w:r>
      <w:r>
        <w:rPr>
          <w:rFonts w:ascii="SimSun" w:hAnsi="SimSun" w:eastAsia="SimSun" w:cs="SimSun"/>
          <w:color w:val="auto"/>
          <w:sz w:val="32"/>
        </w:rPr>
        <w:t xml:space="preserve">动画制作与配套设施建设项目</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rPr>
        <w:t xml:space="preserve">项目编号：</w:t>
      </w:r>
      <w:r>
        <w:rPr>
          <w:rFonts w:ascii="Times New Roman" w:hAnsi="Times New Roman" w:eastAsia="Times New Roman" w:cs="Times New Roman"/>
          <w:color w:val="auto"/>
          <w:sz w:val="32"/>
        </w:rPr>
        <w:t xml:space="preserve">JSZC-320300-ZJZB-G2025-0233</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rPr>
        <w:t xml:space="preserve">招 标 人：淮海战役烈士纪念塔管理中心</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32"/>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32"/>
        </w:rPr>
        <w:t xml:space="preserve"> </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rPr>
        <w:t xml:space="preserve">采购代理机构：江苏中际招标代理有限公司</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rPr>
        <w:t xml:space="preserve">二〇二五年十二月</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44"/>
        </w:rPr>
        <w:t xml:space="preserve"> </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44"/>
        </w:rPr>
        <w:t xml:space="preserve">目录</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113" w:lineRule="atLeast"/>
        <w:tabs>
          <w:tab w:val="left" w:pos="9355" w:leader="none"/>
        </w:tabs>
        <w:rPr>
          <w:color w:val="auto"/>
        </w:rPr>
        <w:pBdr>
          <w:top w:val="none" w:color="000000" w:sz="4" w:space="0"/>
          <w:left w:val="none" w:color="000000" w:sz="4" w:space="0"/>
          <w:bottom w:val="none" w:color="000000" w:sz="4" w:space="0"/>
          <w:right w:val="none" w:color="000000" w:sz="4" w:space="0"/>
        </w:pBdr>
      </w:pPr>
      <w:r>
        <w:rPr>
          <w:color w:val="auto"/>
        </w:rPr>
      </w:r>
      <w:hyperlink r:id="rId10" w:tooltip="http://jszfcg.jsczt.cn/jszc/onlyoffice/7.2.1-34/web-apps/apps/documenteditor/main/index_loader.html?_dc=7.2.1-34&amp;lang=zh&amp;customer=%20&amp;logo=%20&amp;headerlogo=%2Ffavicon.ico&amp;frameEditorId=iframePage&amp;compact=true&amp;parentOrigin=http://jszfcg.jsczt.cn#_Toc996" w:history="1">
        <w:r>
          <w:rPr>
            <w:rStyle w:val="818"/>
            <w:rFonts w:ascii="SimSun" w:hAnsi="SimSun" w:eastAsia="SimSun" w:cs="SimSun"/>
            <w:color w:val="auto"/>
            <w:sz w:val="28"/>
            <w:u w:val="single"/>
          </w:rPr>
          <w:t xml:space="preserve">第一章</w:t>
        </w:r>
        <w:r>
          <w:rPr>
            <w:rStyle w:val="818"/>
            <w:rFonts w:ascii="Times New Roman" w:hAnsi="Times New Roman" w:eastAsia="Times New Roman" w:cs="Times New Roman"/>
            <w:color w:val="auto"/>
            <w:sz w:val="28"/>
            <w:u w:val="none"/>
          </w:rPr>
          <w:t xml:space="preserve"> </w:t>
        </w:r>
        <w:r>
          <w:rPr>
            <w:rStyle w:val="818"/>
            <w:rFonts w:ascii="SimSun" w:hAnsi="SimSun" w:eastAsia="SimSun" w:cs="SimSun"/>
            <w:color w:val="auto"/>
            <w:sz w:val="28"/>
            <w:u w:val="single"/>
          </w:rPr>
          <w:t xml:space="preserve">投标邀请</w:t>
        </w:r>
        <w:r>
          <w:rPr>
            <w:rStyle w:val="818"/>
            <w:rFonts w:ascii="Times New Roman" w:hAnsi="Times New Roman" w:eastAsia="Times New Roman" w:cs="Times New Roman"/>
            <w:color w:val="auto"/>
            <w:sz w:val="28"/>
            <w:u w:val="single"/>
          </w:rPr>
          <w:tab/>
        </w:r>
      </w:hyperlink>
      <w:r>
        <w:rPr>
          <w:color w:val="auto"/>
        </w:rPr>
      </w:r>
      <w:r/>
    </w:p>
    <w:p>
      <w:pPr>
        <w:ind w:left="0" w:right="0" w:firstLine="0"/>
        <w:spacing w:before="0" w:after="0" w:line="113" w:lineRule="atLeast"/>
        <w:tabs>
          <w:tab w:val="left" w:pos="9355" w:leader="none"/>
        </w:tabs>
        <w:rPr>
          <w:color w:val="auto"/>
        </w:rPr>
        <w:pBdr>
          <w:top w:val="none" w:color="000000" w:sz="4" w:space="0"/>
          <w:left w:val="none" w:color="000000" w:sz="4" w:space="0"/>
          <w:bottom w:val="none" w:color="000000" w:sz="4" w:space="0"/>
          <w:right w:val="none" w:color="000000" w:sz="4" w:space="0"/>
        </w:pBdr>
      </w:pPr>
      <w:r>
        <w:rPr>
          <w:color w:val="auto"/>
        </w:rPr>
      </w:r>
      <w:hyperlink r:id="rId11" w:tooltip="http://jszfcg.jsczt.cn/jszc/onlyoffice/7.2.1-34/web-apps/apps/documenteditor/main/index_loader.html?_dc=7.2.1-34&amp;lang=zh&amp;customer=%20&amp;logo=%20&amp;headerlogo=%2Ffavicon.ico&amp;frameEditorId=iframePage&amp;compact=true&amp;parentOrigin=http://jszfcg.jsczt.cn#_Toc396" w:history="1">
        <w:r>
          <w:rPr>
            <w:rStyle w:val="818"/>
            <w:rFonts w:ascii="SimSun" w:hAnsi="SimSun" w:eastAsia="SimSun" w:cs="SimSun"/>
            <w:color w:val="auto"/>
            <w:sz w:val="28"/>
            <w:u w:val="single"/>
          </w:rPr>
          <w:t xml:space="preserve">第二章</w:t>
        </w:r>
        <w:r>
          <w:rPr>
            <w:rStyle w:val="818"/>
            <w:rFonts w:ascii="SimSun" w:hAnsi="SimSun" w:eastAsia="SimSun" w:cs="SimSun"/>
            <w:color w:val="auto"/>
            <w:sz w:val="28"/>
            <w:u w:val="none"/>
          </w:rPr>
          <w:t xml:space="preserve"> </w:t>
        </w:r>
        <w:r>
          <w:rPr>
            <w:rStyle w:val="818"/>
            <w:rFonts w:ascii="SimSun" w:hAnsi="SimSun" w:eastAsia="SimSun" w:cs="SimSun"/>
            <w:color w:val="auto"/>
            <w:sz w:val="28"/>
            <w:u w:val="single"/>
          </w:rPr>
          <w:t xml:space="preserve">投标人须知</w:t>
        </w:r>
        <w:r>
          <w:rPr>
            <w:rStyle w:val="818"/>
            <w:rFonts w:ascii="Times New Roman" w:hAnsi="Times New Roman" w:eastAsia="Times New Roman" w:cs="Times New Roman"/>
            <w:color w:val="auto"/>
            <w:sz w:val="28"/>
            <w:u w:val="single"/>
          </w:rPr>
          <w:tab/>
        </w:r>
      </w:hyperlink>
      <w:r>
        <w:rPr>
          <w:color w:val="auto"/>
        </w:rPr>
      </w:r>
      <w:r/>
    </w:p>
    <w:p>
      <w:pPr>
        <w:ind w:left="0" w:right="0" w:firstLine="0"/>
        <w:spacing w:before="0" w:after="0" w:line="113" w:lineRule="atLeast"/>
        <w:tabs>
          <w:tab w:val="left" w:pos="9355" w:leader="none"/>
        </w:tabs>
        <w:rPr>
          <w:color w:val="auto"/>
        </w:rPr>
        <w:pBdr>
          <w:top w:val="none" w:color="000000" w:sz="4" w:space="0"/>
          <w:left w:val="none" w:color="000000" w:sz="4" w:space="0"/>
          <w:bottom w:val="none" w:color="000000" w:sz="4" w:space="0"/>
          <w:right w:val="none" w:color="000000" w:sz="4" w:space="0"/>
        </w:pBdr>
      </w:pPr>
      <w:r>
        <w:rPr>
          <w:color w:val="auto"/>
        </w:rPr>
      </w:r>
      <w:hyperlink r:id="rId12" w:tooltip="http://jszfcg.jsczt.cn/jszc/onlyoffice/7.2.1-34/web-apps/apps/documenteditor/main/index_loader.html?_dc=7.2.1-34&amp;lang=zh&amp;customer=%20&amp;logo=%20&amp;headerlogo=%2Ffavicon.ico&amp;frameEditorId=iframePage&amp;compact=true&amp;parentOrigin=http://jszfcg.jsczt.cn#_Toc16411" w:history="1">
        <w:r>
          <w:rPr>
            <w:rStyle w:val="818"/>
            <w:rFonts w:ascii="SimSun" w:hAnsi="SimSun" w:eastAsia="SimSun" w:cs="SimSun"/>
            <w:color w:val="auto"/>
            <w:sz w:val="28"/>
            <w:u w:val="single"/>
          </w:rPr>
          <w:t xml:space="preserve">第三章</w:t>
        </w:r>
        <w:r>
          <w:rPr>
            <w:rStyle w:val="818"/>
            <w:rFonts w:ascii="SimSun" w:hAnsi="SimSun" w:eastAsia="SimSun" w:cs="SimSun"/>
            <w:color w:val="auto"/>
            <w:sz w:val="28"/>
            <w:u w:val="none"/>
          </w:rPr>
          <w:t xml:space="preserve"> </w:t>
        </w:r>
        <w:r>
          <w:rPr>
            <w:rStyle w:val="818"/>
            <w:rFonts w:ascii="SimSun" w:hAnsi="SimSun" w:eastAsia="SimSun" w:cs="SimSun"/>
            <w:color w:val="auto"/>
            <w:sz w:val="28"/>
            <w:u w:val="single"/>
          </w:rPr>
          <w:t xml:space="preserve">投标资料表</w:t>
        </w:r>
        <w:r>
          <w:rPr>
            <w:rStyle w:val="818"/>
            <w:rFonts w:ascii="Times New Roman" w:hAnsi="Times New Roman" w:eastAsia="Times New Roman" w:cs="Times New Roman"/>
            <w:color w:val="auto"/>
            <w:sz w:val="28"/>
            <w:u w:val="single"/>
          </w:rPr>
          <w:tab/>
          <w:t xml:space="preserve">1</w:t>
        </w:r>
      </w:hyperlink>
      <w:r>
        <w:rPr>
          <w:rFonts w:ascii="Times New Roman" w:hAnsi="Times New Roman" w:eastAsia="Times New Roman" w:cs="Times New Roman"/>
          <w:color w:val="auto"/>
          <w:sz w:val="28"/>
        </w:rPr>
        <w:t xml:space="preserve">4</w:t>
      </w:r>
      <w:r>
        <w:rPr>
          <w:color w:val="auto"/>
        </w:rPr>
      </w:r>
      <w:r/>
    </w:p>
    <w:p>
      <w:pPr>
        <w:ind w:left="0" w:right="0" w:firstLine="0"/>
        <w:spacing w:before="0" w:after="0" w:line="113" w:lineRule="atLeast"/>
        <w:tabs>
          <w:tab w:val="left" w:pos="9355" w:leader="none"/>
        </w:tabs>
        <w:rPr>
          <w:color w:val="auto"/>
        </w:rPr>
        <w:pBdr>
          <w:top w:val="none" w:color="000000" w:sz="4" w:space="0"/>
          <w:left w:val="none" w:color="000000" w:sz="4" w:space="0"/>
          <w:bottom w:val="none" w:color="000000" w:sz="4" w:space="0"/>
          <w:right w:val="none" w:color="000000" w:sz="4" w:space="0"/>
        </w:pBdr>
      </w:pPr>
      <w:r>
        <w:rPr>
          <w:color w:val="auto"/>
        </w:rPr>
      </w:r>
      <w:hyperlink r:id="rId13" w:tooltip="http://jszfcg.jsczt.cn/jszc/onlyoffice/7.2.1-34/web-apps/apps/documenteditor/main/index_loader.html?_dc=7.2.1-34&amp;lang=zh&amp;customer=%20&amp;logo=%20&amp;headerlogo=%2Ffavicon.ico&amp;frameEditorId=iframePage&amp;compact=true&amp;parentOrigin=http://jszfcg.jsczt.cn#_Toc4749" w:history="1">
        <w:r>
          <w:rPr>
            <w:rStyle w:val="818"/>
            <w:rFonts w:ascii="SimSun" w:hAnsi="SimSun" w:eastAsia="SimSun" w:cs="SimSun"/>
            <w:color w:val="auto"/>
            <w:sz w:val="28"/>
            <w:u w:val="single"/>
          </w:rPr>
          <w:t xml:space="preserve">第四章</w:t>
        </w:r>
        <w:r>
          <w:rPr>
            <w:rStyle w:val="818"/>
            <w:rFonts w:ascii="SimSun" w:hAnsi="SimSun" w:eastAsia="SimSun" w:cs="SimSun"/>
            <w:color w:val="auto"/>
            <w:sz w:val="28"/>
            <w:u w:val="none"/>
          </w:rPr>
          <w:t xml:space="preserve"> </w:t>
        </w:r>
        <w:r>
          <w:rPr>
            <w:rStyle w:val="818"/>
            <w:rFonts w:ascii="SimSun" w:hAnsi="SimSun" w:eastAsia="SimSun" w:cs="SimSun"/>
            <w:color w:val="auto"/>
            <w:sz w:val="28"/>
            <w:u w:val="single"/>
          </w:rPr>
          <w:t xml:space="preserve">评标标准</w:t>
        </w:r>
        <w:r>
          <w:rPr>
            <w:rStyle w:val="818"/>
            <w:rFonts w:ascii="Times New Roman" w:hAnsi="Times New Roman" w:eastAsia="Times New Roman" w:cs="Times New Roman"/>
            <w:color w:val="auto"/>
            <w:sz w:val="28"/>
            <w:u w:val="single"/>
          </w:rPr>
          <w:tab/>
          <w:t xml:space="preserve">2</w:t>
        </w:r>
      </w:hyperlink>
      <w:r>
        <w:rPr>
          <w:rFonts w:ascii="Times New Roman" w:hAnsi="Times New Roman" w:eastAsia="Times New Roman" w:cs="Times New Roman"/>
          <w:color w:val="auto"/>
          <w:sz w:val="28"/>
        </w:rPr>
        <w:t xml:space="preserve">2</w:t>
      </w:r>
      <w:r>
        <w:rPr>
          <w:color w:val="auto"/>
        </w:rPr>
      </w:r>
      <w:r/>
    </w:p>
    <w:p>
      <w:pPr>
        <w:ind w:left="0" w:right="0" w:firstLine="0"/>
        <w:spacing w:before="0" w:after="0" w:line="113" w:lineRule="atLeast"/>
        <w:tabs>
          <w:tab w:val="left" w:pos="9355" w:leader="none"/>
        </w:tabs>
        <w:rPr>
          <w:color w:val="auto"/>
        </w:rPr>
        <w:pBdr>
          <w:top w:val="none" w:color="000000" w:sz="4" w:space="0"/>
          <w:left w:val="none" w:color="000000" w:sz="4" w:space="0"/>
          <w:bottom w:val="none" w:color="000000" w:sz="4" w:space="0"/>
          <w:right w:val="none" w:color="000000" w:sz="4" w:space="0"/>
        </w:pBdr>
      </w:pPr>
      <w:r>
        <w:rPr>
          <w:color w:val="auto"/>
        </w:rPr>
      </w:r>
      <w:hyperlink r:id="rId14" w:tooltip="http://jszfcg.jsczt.cn/jszc/onlyoffice/7.2.1-34/web-apps/apps/documenteditor/main/index_loader.html?_dc=7.2.1-34&amp;lang=zh&amp;customer=%20&amp;logo=%20&amp;headerlogo=%2Ffavicon.ico&amp;frameEditorId=iframePage&amp;compact=true&amp;parentOrigin=http://jszfcg.jsczt.cn#_Toc4807" w:history="1">
        <w:r>
          <w:rPr>
            <w:rStyle w:val="818"/>
            <w:rFonts w:ascii="SimSun" w:hAnsi="SimSun" w:eastAsia="SimSun" w:cs="SimSun"/>
            <w:color w:val="auto"/>
            <w:sz w:val="28"/>
            <w:u w:val="single"/>
          </w:rPr>
          <w:t xml:space="preserve">第五章</w:t>
        </w:r>
        <w:r>
          <w:rPr>
            <w:rStyle w:val="818"/>
            <w:rFonts w:ascii="SimSun" w:hAnsi="SimSun" w:eastAsia="SimSun" w:cs="SimSun"/>
            <w:color w:val="auto"/>
            <w:sz w:val="28"/>
            <w:u w:val="none"/>
          </w:rPr>
          <w:t xml:space="preserve"> </w:t>
        </w:r>
        <w:r>
          <w:rPr>
            <w:rStyle w:val="818"/>
            <w:rFonts w:ascii="SimSun" w:hAnsi="SimSun" w:eastAsia="SimSun" w:cs="SimSun"/>
            <w:color w:val="auto"/>
            <w:sz w:val="28"/>
            <w:u w:val="single"/>
          </w:rPr>
          <w:t xml:space="preserve">拟签订的合同文本</w:t>
        </w:r>
        <w:r>
          <w:rPr>
            <w:rStyle w:val="818"/>
            <w:rFonts w:ascii="Times New Roman" w:hAnsi="Times New Roman" w:eastAsia="Times New Roman" w:cs="Times New Roman"/>
            <w:color w:val="auto"/>
            <w:sz w:val="28"/>
            <w:u w:val="single"/>
          </w:rPr>
          <w:tab/>
          <w:t xml:space="preserve">2</w:t>
        </w:r>
      </w:hyperlink>
      <w:r>
        <w:rPr>
          <w:rFonts w:ascii="Times New Roman" w:hAnsi="Times New Roman" w:eastAsia="Times New Roman" w:cs="Times New Roman"/>
          <w:color w:val="auto"/>
          <w:sz w:val="28"/>
        </w:rPr>
        <w:t xml:space="preserve">8</w:t>
      </w:r>
      <w:r>
        <w:rPr>
          <w:color w:val="auto"/>
        </w:rPr>
      </w:r>
      <w:r/>
    </w:p>
    <w:p>
      <w:pPr>
        <w:ind w:left="0" w:right="0" w:firstLine="0"/>
        <w:spacing w:before="0" w:after="0" w:line="113" w:lineRule="atLeast"/>
        <w:tabs>
          <w:tab w:val="left" w:pos="9355" w:leader="none"/>
        </w:tabs>
        <w:rPr>
          <w:color w:val="auto"/>
        </w:rPr>
        <w:pBdr>
          <w:top w:val="none" w:color="000000" w:sz="4" w:space="0"/>
          <w:left w:val="none" w:color="000000" w:sz="4" w:space="0"/>
          <w:bottom w:val="none" w:color="000000" w:sz="4" w:space="0"/>
          <w:right w:val="none" w:color="000000" w:sz="4" w:space="0"/>
        </w:pBdr>
      </w:pPr>
      <w:r>
        <w:rPr>
          <w:color w:val="auto"/>
        </w:rPr>
      </w:r>
      <w:hyperlink r:id="rId15" w:tooltip="http://jszfcg.jsczt.cn/jszc/onlyoffice/7.2.1-34/web-apps/apps/documenteditor/main/index_loader.html?_dc=7.2.1-34&amp;lang=zh&amp;customer=%20&amp;logo=%20&amp;headerlogo=%2Ffavicon.ico&amp;frameEditorId=iframePage&amp;compact=true&amp;parentOrigin=http://jszfcg.jsczt.cn#_Toc1430" w:history="1">
        <w:r>
          <w:rPr>
            <w:rStyle w:val="818"/>
            <w:rFonts w:ascii="SimSun" w:hAnsi="SimSun" w:eastAsia="SimSun" w:cs="SimSun"/>
            <w:color w:val="auto"/>
            <w:sz w:val="28"/>
            <w:u w:val="single"/>
          </w:rPr>
          <w:t xml:space="preserve">第六章</w:t>
        </w:r>
        <w:r>
          <w:rPr>
            <w:rStyle w:val="818"/>
            <w:rFonts w:ascii="Times New Roman" w:hAnsi="Times New Roman" w:eastAsia="Times New Roman" w:cs="Times New Roman"/>
            <w:color w:val="auto"/>
            <w:sz w:val="28"/>
            <w:u w:val="none"/>
          </w:rPr>
          <w:t xml:space="preserve"> </w:t>
        </w:r>
        <w:r>
          <w:rPr>
            <w:rStyle w:val="818"/>
            <w:rFonts w:ascii="SimSun" w:hAnsi="SimSun" w:eastAsia="SimSun" w:cs="SimSun"/>
            <w:color w:val="auto"/>
            <w:sz w:val="28"/>
            <w:u w:val="single"/>
          </w:rPr>
          <w:t xml:space="preserve">采购需求</w:t>
        </w:r>
        <w:r>
          <w:rPr>
            <w:rStyle w:val="818"/>
            <w:rFonts w:ascii="Times New Roman" w:hAnsi="Times New Roman" w:eastAsia="Times New Roman" w:cs="Times New Roman"/>
            <w:color w:val="auto"/>
            <w:sz w:val="28"/>
            <w:u w:val="single"/>
          </w:rPr>
          <w:tab/>
          <w:t xml:space="preserve">3</w:t>
        </w:r>
      </w:hyperlink>
      <w:r>
        <w:rPr>
          <w:rFonts w:ascii="Times New Roman" w:hAnsi="Times New Roman" w:eastAsia="Times New Roman" w:cs="Times New Roman"/>
          <w:color w:val="auto"/>
          <w:sz w:val="28"/>
        </w:rPr>
        <w:t xml:space="preserve">4</w:t>
      </w:r>
      <w:r>
        <w:rPr>
          <w:color w:val="auto"/>
        </w:rPr>
      </w:r>
      <w:r/>
    </w:p>
    <w:p>
      <w:pPr>
        <w:ind w:left="0" w:right="0" w:firstLine="0"/>
        <w:spacing w:before="0" w:after="0" w:line="113" w:lineRule="atLeast"/>
        <w:tabs>
          <w:tab w:val="left" w:pos="9355" w:leader="none"/>
        </w:tabs>
        <w:rPr>
          <w:color w:val="auto"/>
        </w:rPr>
        <w:pBdr>
          <w:top w:val="none" w:color="000000" w:sz="4" w:space="0"/>
          <w:left w:val="none" w:color="000000" w:sz="4" w:space="0"/>
          <w:bottom w:val="none" w:color="000000" w:sz="4" w:space="0"/>
          <w:right w:val="none" w:color="000000" w:sz="4" w:space="0"/>
        </w:pBdr>
      </w:pPr>
      <w:r>
        <w:rPr>
          <w:color w:val="auto"/>
        </w:rPr>
      </w:r>
      <w:hyperlink r:id="rId16" w:tooltip="http://jszfcg.jsczt.cn/jszc/onlyoffice/7.2.1-34/web-apps/apps/documenteditor/main/index_loader.html?_dc=7.2.1-34&amp;lang=zh&amp;customer=%20&amp;logo=%20&amp;headerlogo=%2Ffavicon.ico&amp;frameEditorId=iframePage&amp;compact=true&amp;parentOrigin=http://jszfcg.jsczt.cn#_Toc1056" w:history="1">
        <w:r>
          <w:rPr>
            <w:rStyle w:val="818"/>
            <w:rFonts w:ascii="SimSun" w:hAnsi="SimSun" w:eastAsia="SimSun" w:cs="SimSun"/>
            <w:color w:val="auto"/>
            <w:sz w:val="28"/>
            <w:u w:val="single"/>
          </w:rPr>
          <w:t xml:space="preserve">第七章投标文件相关格式</w:t>
        </w:r>
        <w:r>
          <w:rPr>
            <w:rStyle w:val="818"/>
            <w:rFonts w:ascii="Times New Roman" w:hAnsi="Times New Roman" w:eastAsia="Times New Roman" w:cs="Times New Roman"/>
            <w:color w:val="auto"/>
            <w:sz w:val="28"/>
            <w:u w:val="single"/>
          </w:rPr>
          <w:tab/>
          <w:t xml:space="preserve">4</w:t>
        </w:r>
      </w:hyperlink>
      <w:r>
        <w:rPr>
          <w:rFonts w:ascii="Times New Roman" w:hAnsi="Times New Roman" w:eastAsia="Times New Roman" w:cs="Times New Roman"/>
          <w:color w:val="auto"/>
          <w:sz w:val="28"/>
        </w:rPr>
        <w:t xml:space="preserve">9</w:t>
      </w:r>
      <w:r>
        <w:rPr>
          <w:color w:val="auto"/>
        </w:rPr>
      </w:r>
      <w:r/>
    </w:p>
    <w:p>
      <w:pPr>
        <w:ind w:left="0" w:right="0" w:firstLine="0"/>
        <w:spacing w:before="0" w:after="0" w:line="113"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jc w:val="center"/>
        <w:spacing w:before="240" w:after="24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44"/>
        </w:rPr>
        <w:t xml:space="preserve">淮海战役烈士纪念塔管理中心</w:t>
      </w:r>
      <w:r>
        <w:rPr>
          <w:color w:val="auto"/>
        </w:rPr>
      </w:r>
      <w:r/>
    </w:p>
    <w:p>
      <w:pPr>
        <w:ind w:left="0" w:right="0" w:firstLine="0"/>
        <w:jc w:val="center"/>
        <w:spacing w:before="240" w:after="24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44"/>
        </w:rPr>
        <w:t xml:space="preserve">《淮海战役</w:t>
      </w:r>
      <w:r>
        <w:rPr>
          <w:rFonts w:ascii="Times New Roman" w:hAnsi="Times New Roman" w:eastAsia="Times New Roman" w:cs="Times New Roman"/>
          <w:b/>
          <w:color w:val="auto"/>
          <w:sz w:val="44"/>
        </w:rPr>
        <w:t xml:space="preserve">3D</w:t>
      </w:r>
      <w:r>
        <w:rPr>
          <w:rFonts w:ascii="SimSun" w:hAnsi="SimSun" w:eastAsia="SimSun" w:cs="SimSun"/>
          <w:b/>
          <w:color w:val="auto"/>
          <w:sz w:val="44"/>
        </w:rPr>
        <w:t xml:space="preserve">动画制作与配套设施建设项目》</w:t>
      </w:r>
      <w:r>
        <w:rPr>
          <w:color w:val="auto"/>
        </w:rPr>
      </w:r>
      <w:r/>
    </w:p>
    <w:p>
      <w:pPr>
        <w:ind w:left="0" w:right="0" w:firstLine="0"/>
        <w:jc w:val="center"/>
        <w:spacing w:before="240" w:after="24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44"/>
        </w:rPr>
        <w:t xml:space="preserve">招标文件</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p>
      <w:pPr>
        <w:pStyle w:val="658"/>
        <w:ind w:left="0" w:right="0" w:firstLine="0"/>
        <w:jc w:val="center"/>
        <w:spacing w:before="0" w:after="0" w:line="54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u w:val="none"/>
        </w:rPr>
        <w:t xml:space="preserve">第一章投标邀请</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江苏中际招标代理有限公司对淮海战役烈士纪念塔管理中心“淮海战役</w:t>
      </w:r>
      <w:r>
        <w:rPr>
          <w:rFonts w:ascii="Times New Roman" w:hAnsi="Times New Roman" w:eastAsia="Times New Roman" w:cs="Times New Roman"/>
          <w:color w:val="auto"/>
          <w:sz w:val="24"/>
        </w:rPr>
        <w:t xml:space="preserve">3D</w:t>
      </w:r>
      <w:r>
        <w:rPr>
          <w:rFonts w:ascii="SimSun" w:hAnsi="SimSun" w:eastAsia="SimSun" w:cs="SimSun"/>
          <w:color w:val="auto"/>
          <w:sz w:val="24"/>
        </w:rPr>
        <w:t xml:space="preserve">动画制作与配套设施建设项目”进行公开招标采购，现邀请符合相关条件的供应商投标。</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一、项目名称和项目编号</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一</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项目名称：淮海战役</w:t>
      </w:r>
      <w:r>
        <w:rPr>
          <w:rFonts w:ascii="Times New Roman" w:hAnsi="Times New Roman" w:eastAsia="Times New Roman" w:cs="Times New Roman"/>
          <w:color w:val="auto"/>
          <w:sz w:val="24"/>
        </w:rPr>
        <w:t xml:space="preserve">3D</w:t>
      </w:r>
      <w:r>
        <w:rPr>
          <w:rFonts w:ascii="SimSun" w:hAnsi="SimSun" w:eastAsia="SimSun" w:cs="SimSun"/>
          <w:color w:val="auto"/>
          <w:sz w:val="24"/>
        </w:rPr>
        <w:t xml:space="preserve">动画制作与配套设施建设项目</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二</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项目编号：</w:t>
      </w:r>
      <w:r>
        <w:rPr>
          <w:rFonts w:ascii="Times New Roman" w:hAnsi="Times New Roman" w:eastAsia="Times New Roman" w:cs="Times New Roman"/>
          <w:color w:val="auto"/>
          <w:sz w:val="24"/>
        </w:rPr>
        <w:t xml:space="preserve">JSZC-320300-ZJZB-G2025-0233</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二、对投标人的资格要求</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详见本项目公开招标公告。</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三、获取招标文件</w:t>
      </w:r>
      <w:r>
        <w:rPr>
          <w:color w:val="auto"/>
        </w:rPr>
      </w:r>
      <w:r/>
    </w:p>
    <w:p>
      <w:pPr>
        <w:ind w:left="0" w:right="0" w:firstLine="24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）潜在供应商访问电子招标投标交易平台的网络地址和方法：</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①</w:t>
      </w:r>
      <w:r>
        <w:rPr>
          <w:rFonts w:ascii="SimSun" w:hAnsi="SimSun" w:eastAsia="SimSun" w:cs="SimSun"/>
          <w:color w:val="auto"/>
          <w:sz w:val="24"/>
        </w:rPr>
        <w:t xml:space="preserve">“苏采云”系统用户注册</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获取“</w:t>
      </w:r>
      <w:r>
        <w:rPr>
          <w:rFonts w:ascii="Times New Roman" w:hAnsi="Times New Roman" w:eastAsia="Times New Roman" w:cs="Times New Roman"/>
          <w:color w:val="auto"/>
          <w:sz w:val="24"/>
        </w:rPr>
        <w:t xml:space="preserve">CA</w:t>
      </w:r>
      <w:r>
        <w:rPr>
          <w:rFonts w:ascii="SimSun" w:hAnsi="SimSun" w:eastAsia="SimSun" w:cs="SimSun"/>
          <w:color w:val="auto"/>
          <w:sz w:val="24"/>
        </w:rPr>
        <w:t xml:space="preserve">数字证书”</w:t>
      </w:r>
      <w:r>
        <w:rPr>
          <w:rFonts w:ascii="Times New Roman" w:hAnsi="Times New Roman" w:eastAsia="Times New Roman" w:cs="Times New Roman"/>
          <w:color w:val="auto"/>
          <w:sz w:val="24"/>
        </w:rPr>
        <w:t xml:space="preserve">--CA</w:t>
      </w:r>
      <w:r>
        <w:rPr>
          <w:rFonts w:ascii="SimSun" w:hAnsi="SimSun" w:eastAsia="SimSun" w:cs="SimSun"/>
          <w:color w:val="auto"/>
          <w:sz w:val="24"/>
        </w:rPr>
        <w:t xml:space="preserve">绑定与登录</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网上报名</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下载采购文件（后缀名为“</w:t>
      </w:r>
      <w:r>
        <w:rPr>
          <w:rFonts w:ascii="Times New Roman" w:hAnsi="Times New Roman" w:eastAsia="Times New Roman" w:cs="Times New Roman"/>
          <w:color w:val="auto"/>
          <w:sz w:val="24"/>
        </w:rPr>
        <w:t xml:space="preserve">.kedt</w:t>
      </w: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将后缀名为“</w:t>
      </w:r>
      <w:r>
        <w:rPr>
          <w:rFonts w:ascii="Times New Roman" w:hAnsi="Times New Roman" w:eastAsia="Times New Roman" w:cs="Times New Roman"/>
          <w:color w:val="auto"/>
          <w:sz w:val="24"/>
        </w:rPr>
        <w:t xml:space="preserve">.kedt</w:t>
      </w:r>
      <w:r>
        <w:rPr>
          <w:rFonts w:ascii="SimSun" w:hAnsi="SimSun" w:eastAsia="SimSun" w:cs="SimSun"/>
          <w:color w:val="auto"/>
          <w:sz w:val="24"/>
        </w:rPr>
        <w:t xml:space="preserve">”的采购文件导入政府采购客户端工具</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制作投标文件</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导出加密的投标文件（后缀名为</w:t>
      </w:r>
      <w:r>
        <w:rPr>
          <w:rFonts w:ascii="Times New Roman" w:hAnsi="Times New Roman" w:eastAsia="Times New Roman" w:cs="Times New Roman"/>
          <w:color w:val="auto"/>
          <w:sz w:val="24"/>
        </w:rPr>
        <w:t xml:space="preserve">zip</w:t>
      </w: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通过“苏采云”系统上传投标文件。具体见《江苏省政府采购管理交易系统（苏采云）供应商操作手册》。</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②潜在供应商访问“苏采云”系统的网络地址和方法：“苏采云”系统的网址：</w:t>
      </w:r>
      <w:r>
        <w:rPr>
          <w:rFonts w:ascii="Times New Roman" w:hAnsi="Times New Roman" w:eastAsia="Times New Roman" w:cs="Times New Roman"/>
          <w:color w:val="auto"/>
          <w:sz w:val="24"/>
        </w:rPr>
        <w:t xml:space="preserve">http://jszfcg.jsczt.cn/</w:t>
      </w:r>
      <w:r>
        <w:rPr>
          <w:rFonts w:ascii="SimSun" w:hAnsi="SimSun" w:eastAsia="SimSun" w:cs="SimSun"/>
          <w:color w:val="auto"/>
          <w:sz w:val="24"/>
        </w:rPr>
        <w:t xml:space="preserve">；或进入徐州政府采购网（网址：</w:t>
      </w:r>
      <w:r>
        <w:rPr>
          <w:rFonts w:ascii="Times New Roman" w:hAnsi="Times New Roman" w:eastAsia="Times New Roman" w:cs="Times New Roman"/>
          <w:color w:val="auto"/>
          <w:sz w:val="24"/>
        </w:rPr>
        <w:t xml:space="preserve">http://czj.xz.gov.cn/Home/HomeIndex</w:t>
      </w: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业务工作</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用户登录，点击“苏采云”进入系统。</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③“</w:t>
      </w:r>
      <w:r>
        <w:rPr>
          <w:rFonts w:ascii="Times New Roman" w:hAnsi="Times New Roman" w:eastAsia="Times New Roman" w:cs="Times New Roman"/>
          <w:color w:val="auto"/>
          <w:sz w:val="24"/>
        </w:rPr>
        <w:t xml:space="preserve">CA</w:t>
      </w:r>
      <w:r>
        <w:rPr>
          <w:rFonts w:ascii="SimSun" w:hAnsi="SimSun" w:eastAsia="SimSun" w:cs="SimSun"/>
          <w:color w:val="auto"/>
          <w:sz w:val="24"/>
        </w:rPr>
        <w:t xml:space="preserve">数字证书”的获取：</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供应商需办理</w:t>
      </w:r>
      <w:r>
        <w:rPr>
          <w:rFonts w:ascii="Times New Roman" w:hAnsi="Times New Roman" w:eastAsia="Times New Roman" w:cs="Times New Roman"/>
          <w:color w:val="auto"/>
          <w:sz w:val="24"/>
        </w:rPr>
        <w:t xml:space="preserve">CA</w:t>
      </w:r>
      <w:r>
        <w:rPr>
          <w:rFonts w:ascii="SimSun" w:hAnsi="SimSun" w:eastAsia="SimSun" w:cs="SimSun"/>
          <w:color w:val="auto"/>
          <w:sz w:val="24"/>
        </w:rPr>
        <w:t xml:space="preserve">锁，“苏采云”系统目前仅支持“苏采云”系统下的政务</w:t>
      </w:r>
      <w:r>
        <w:rPr>
          <w:rFonts w:ascii="Times New Roman" w:hAnsi="Times New Roman" w:eastAsia="Times New Roman" w:cs="Times New Roman"/>
          <w:color w:val="auto"/>
          <w:sz w:val="24"/>
        </w:rPr>
        <w:t xml:space="preserve">CA</w:t>
      </w:r>
      <w:r>
        <w:rPr>
          <w:rFonts w:ascii="SimSun" w:hAnsi="SimSun" w:eastAsia="SimSun" w:cs="SimSun"/>
          <w:color w:val="auto"/>
          <w:sz w:val="24"/>
        </w:rPr>
        <w:t xml:space="preserve">，省内各地区办理的“苏采云”系统下的政务</w:t>
      </w:r>
      <w:r>
        <w:rPr>
          <w:rFonts w:ascii="Times New Roman" w:hAnsi="Times New Roman" w:eastAsia="Times New Roman" w:cs="Times New Roman"/>
          <w:color w:val="auto"/>
          <w:sz w:val="24"/>
        </w:rPr>
        <w:t xml:space="preserve">CA</w:t>
      </w:r>
      <w:r>
        <w:rPr>
          <w:rFonts w:ascii="SimSun" w:hAnsi="SimSun" w:eastAsia="SimSun" w:cs="SimSun"/>
          <w:color w:val="auto"/>
          <w:sz w:val="24"/>
        </w:rPr>
        <w:t xml:space="preserve">全省通用。“</w:t>
      </w:r>
      <w:r>
        <w:rPr>
          <w:rFonts w:ascii="Times New Roman" w:hAnsi="Times New Roman" w:eastAsia="Times New Roman" w:cs="Times New Roman"/>
          <w:color w:val="auto"/>
          <w:sz w:val="24"/>
        </w:rPr>
        <w:t xml:space="preserve">CA</w:t>
      </w:r>
      <w:r>
        <w:rPr>
          <w:rFonts w:ascii="SimSun" w:hAnsi="SimSun" w:eastAsia="SimSun" w:cs="SimSun"/>
          <w:color w:val="auto"/>
          <w:sz w:val="24"/>
        </w:rPr>
        <w:t xml:space="preserve">数字证书”的办理材料详见“徐州政府采购网</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业务工作</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快速服务</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下载专区”中的《“苏采云”系统政务</w:t>
      </w:r>
      <w:r>
        <w:rPr>
          <w:rFonts w:ascii="Times New Roman" w:hAnsi="Times New Roman" w:eastAsia="Times New Roman" w:cs="Times New Roman"/>
          <w:color w:val="auto"/>
          <w:sz w:val="24"/>
        </w:rPr>
        <w:t xml:space="preserve">CA</w:t>
      </w:r>
      <w:r>
        <w:rPr>
          <w:rFonts w:ascii="SimSun" w:hAnsi="SimSun" w:eastAsia="SimSun" w:cs="SimSun"/>
          <w:color w:val="auto"/>
          <w:sz w:val="24"/>
        </w:rPr>
        <w:t xml:space="preserve">办理材料、操作手册及控件下载》。</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④采购文件（后缀名为“</w:t>
      </w:r>
      <w:r>
        <w:rPr>
          <w:rFonts w:ascii="Times New Roman" w:hAnsi="Times New Roman" w:eastAsia="Times New Roman" w:cs="Times New Roman"/>
          <w:color w:val="auto"/>
          <w:sz w:val="24"/>
        </w:rPr>
        <w:t xml:space="preserve">.kedt</w:t>
      </w:r>
      <w:r>
        <w:rPr>
          <w:rFonts w:ascii="SimSun" w:hAnsi="SimSun" w:eastAsia="SimSun" w:cs="SimSun"/>
          <w:color w:val="auto"/>
          <w:sz w:val="24"/>
        </w:rPr>
        <w:t xml:space="preserve">”）、供应商操作手册及政府采购客户端工具可通过“苏采云”系统</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已报名项目</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报名详情页面内相应链接进行下载；供应商操作手册及政府采购客户端工具也可通过徐州政府采购网</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业务工作</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快速服务</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下载专区，点击进入《江苏省政府采购管理交易系统（苏采云）供应商操作手册及政府采购客户端》，进行下载。</w:t>
      </w:r>
      <w:r>
        <w:rPr>
          <w:color w:val="auto"/>
        </w:rPr>
      </w:r>
      <w:r/>
    </w:p>
    <w:p>
      <w:pPr>
        <w:ind w:left="0" w:right="0" w:firstLine="24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2</w:t>
      </w:r>
      <w:r>
        <w:rPr>
          <w:rFonts w:ascii="SimSun" w:hAnsi="SimSun" w:eastAsia="SimSun" w:cs="SimSun"/>
          <w:color w:val="auto"/>
          <w:sz w:val="24"/>
        </w:rPr>
        <w:t xml:space="preserve">）采购代理机构将数据电文形式的招标文件加载至电子招标投标交易平台，供潜在供应商下载或者查阅。</w:t>
      </w:r>
      <w:r>
        <w:rPr>
          <w:color w:val="auto"/>
        </w:rPr>
      </w:r>
      <w:r/>
    </w:p>
    <w:p>
      <w:pPr>
        <w:ind w:left="0" w:right="0" w:firstLine="24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3</w:t>
      </w:r>
      <w:r>
        <w:rPr>
          <w:rFonts w:ascii="SimSun" w:hAnsi="SimSun" w:eastAsia="SimSun" w:cs="SimSun"/>
          <w:color w:val="auto"/>
          <w:sz w:val="24"/>
        </w:rPr>
        <w:t xml:space="preserve">）苏采云系统使用谷歌浏览器参与不见面开标。</w:t>
      </w:r>
      <w:r>
        <w:rPr>
          <w:color w:val="auto"/>
        </w:rPr>
      </w:r>
      <w:r/>
    </w:p>
    <w:p>
      <w:pPr>
        <w:ind w:left="0" w:right="0" w:firstLine="24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4</w:t>
      </w:r>
      <w:r>
        <w:rPr>
          <w:rFonts w:ascii="SimSun" w:hAnsi="SimSun" w:eastAsia="SimSun" w:cs="SimSun"/>
          <w:color w:val="auto"/>
          <w:sz w:val="24"/>
        </w:rPr>
        <w:t xml:space="preserve">）售价：免费。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四、投标有关信息</w:t>
      </w:r>
      <w:r>
        <w:rPr>
          <w:color w:val="auto"/>
        </w:rPr>
      </w:r>
      <w:r/>
    </w:p>
    <w:p>
      <w:pPr>
        <w:ind w:left="0" w:right="0" w:firstLine="24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（一）线上提交投标文件截止时间：2025年12月25日9点30分（北京时间）</w:t>
      </w:r>
      <w:r>
        <w:rPr>
          <w:color w:val="auto"/>
        </w:rPr>
      </w:r>
      <w:r/>
    </w:p>
    <w:p>
      <w:pPr>
        <w:ind w:left="0" w:right="0" w:firstLine="24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（二）线上开标时间：2025年12月25日9点30分（北京时间）</w:t>
      </w:r>
      <w:r>
        <w:rPr>
          <w:color w:val="auto"/>
        </w:rPr>
      </w:r>
      <w:r/>
    </w:p>
    <w:p>
      <w:pPr>
        <w:ind w:left="0" w:right="0" w:firstLine="24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（三）线上开标地点：“苏采云”系统（网址：http://jszfcg.jsczt.cn/）“开标大厅”或进入徐州政府采购网（网址：http://czj.xz.gov.cn/Home/HomeIndex）-业务工作-用户登录，点击“苏采云”进入系统“开标大厅” 。</w:t>
      </w:r>
      <w:r>
        <w:rPr>
          <w:color w:val="auto"/>
        </w:rPr>
      </w:r>
      <w:r/>
    </w:p>
    <w:p>
      <w:pPr>
        <w:ind w:left="0" w:right="0" w:firstLine="241"/>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五、采购人</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（一）名称：淮海战役烈士纪念塔管理中心</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（二）地址：徐州市南郊凤凰山</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（三）联系方法：</w:t>
      </w:r>
      <w:r>
        <w:rPr>
          <w:rFonts w:ascii="Times New Roman" w:hAnsi="Times New Roman" w:eastAsia="Times New Roman" w:cs="Times New Roman"/>
          <w:color w:val="auto"/>
          <w:sz w:val="24"/>
        </w:rPr>
        <w:t xml:space="preserve">19961996121</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（四）采购项目联系人：赵歌君，电话：</w:t>
      </w:r>
      <w:r>
        <w:rPr>
          <w:rFonts w:ascii="Times New Roman" w:hAnsi="Times New Roman" w:eastAsia="Times New Roman" w:cs="Times New Roman"/>
          <w:color w:val="auto"/>
          <w:sz w:val="24"/>
        </w:rPr>
        <w:t xml:space="preserve">19961996121</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六、采购代理机构</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（一）名称：江苏中际招标代理有限公司</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（二）地址：徐州市云龙区绿地商务城</w:t>
      </w:r>
      <w:r>
        <w:rPr>
          <w:rFonts w:ascii="Times New Roman" w:hAnsi="Times New Roman" w:eastAsia="Times New Roman" w:cs="Times New Roman"/>
          <w:color w:val="auto"/>
          <w:sz w:val="24"/>
        </w:rPr>
        <w:t xml:space="preserve">LOFT</w:t>
      </w:r>
      <w:r>
        <w:rPr>
          <w:rFonts w:ascii="SimSun" w:hAnsi="SimSun" w:eastAsia="SimSun" w:cs="SimSun"/>
          <w:color w:val="auto"/>
          <w:sz w:val="24"/>
        </w:rPr>
        <w:t xml:space="preserve">领海办公楼</w:t>
      </w:r>
      <w:r>
        <w:rPr>
          <w:rFonts w:ascii="Times New Roman" w:hAnsi="Times New Roman" w:eastAsia="Times New Roman" w:cs="Times New Roman"/>
          <w:color w:val="auto"/>
          <w:sz w:val="24"/>
        </w:rPr>
        <w:t xml:space="preserve">5#1905</w:t>
      </w:r>
      <w:r>
        <w:rPr>
          <w:rFonts w:ascii="SimSun" w:hAnsi="SimSun" w:eastAsia="SimSun" w:cs="SimSun"/>
          <w:color w:val="auto"/>
          <w:sz w:val="24"/>
        </w:rPr>
        <w:t xml:space="preserve">室（汉风路和昆仑大道交叉口东北角）</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（三）联系方法：0516-83200166</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（四）采购项目联系人：邵伟；联系电话：0516-83200166</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pStyle w:val="658"/>
        <w:ind w:left="0" w:right="0" w:firstLine="0"/>
        <w:jc w:val="center"/>
        <w:spacing w:before="0" w:after="0" w:line="54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rPr>
        <w:t xml:space="preserve">第二章 投标人须知</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一、总则</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（一）采购人。采购人即指依法进行政府采购的国家机关、事业单位和团体组织。</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（二）政府招标采购方式。政府采购货物或服务（以下简称“货物服务”）的招标方式，分为公开招标和邀请招标。</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（三）采购人在采购货物服务的招标投标活动中，应当贯彻落实“节约能源、保护环境、扶持不发达地区和少数民族地区和促进中小企业发展”等政府采购政策。</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（四）采购人应当按照财政部制定的《政府采购品目分类目录》确定采购项目属性，对按照《政府采购品目分类目录》无法确定采购项目属性的，应按照有利于采购项目实施的原则确定。</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（五）采购人委托采购代理机构代理招标的，采购代理机构必须在采购人委托的范围内依法开展采购活动。</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（六）投标人的资格条件：</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 </w:t>
      </w:r>
      <w:r>
        <w:rPr>
          <w:rFonts w:ascii="SimSun" w:hAnsi="SimSun" w:eastAsia="SimSun" w:cs="SimSun"/>
          <w:color w:val="auto"/>
          <w:sz w:val="24"/>
        </w:rPr>
        <w:t xml:space="preserve">参加“政府采购货物服务投标活动”的供应商（以下简称投标人），应当是能够提供本国货物服务的本国供应商，但法律、行政法规规定的外国供应商可以参加货物服务招标投标活动的除外。</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投标人是指响应招标、参加投标竞争的法人、其他组织或者自然人。</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 </w:t>
      </w:r>
      <w:r>
        <w:rPr>
          <w:rFonts w:ascii="SimSun" w:hAnsi="SimSun" w:eastAsia="SimSun" w:cs="SimSun"/>
          <w:color w:val="auto"/>
          <w:sz w:val="24"/>
        </w:rPr>
        <w:t xml:space="preserve">投标人授权代表系指法定代表人或受法人委托的受托人。</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（七）投标费用：投标人应承担所有与准备和参加投标有关的费用。无论投标的结果如何，采购代理机构对上述费用不承担任何责任和义务。</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二、招标</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（八）招标文件应包括以下内容：</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第一章，投标邀请；</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第二章，投标人须知；</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第三章，投标资料表；</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第四章，评标标准；</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第五章，拟签订的合同文本；</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第六章，采购需求；</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第七章，投标文件相关格式。</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（九）招标文件澄清或者修改：</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 </w:t>
      </w:r>
      <w:r>
        <w:rPr>
          <w:rFonts w:ascii="SimSun" w:hAnsi="SimSun" w:eastAsia="SimSun" w:cs="SimSun"/>
          <w:color w:val="auto"/>
          <w:sz w:val="24"/>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澄清或者修改的内容可能影响投标文件编制的，采购代理机构应当在投标截止时间至少</w:t>
      </w:r>
      <w:r>
        <w:rPr>
          <w:rFonts w:ascii="Times New Roman" w:hAnsi="Times New Roman" w:eastAsia="Times New Roman" w:cs="Times New Roman"/>
          <w:color w:val="auto"/>
          <w:sz w:val="24"/>
        </w:rPr>
        <w:t xml:space="preserve">15</w:t>
      </w:r>
      <w:r>
        <w:rPr>
          <w:rFonts w:ascii="SimSun" w:hAnsi="SimSun" w:eastAsia="SimSun" w:cs="SimSun"/>
          <w:color w:val="auto"/>
          <w:sz w:val="24"/>
        </w:rPr>
        <w:t xml:space="preserve">日前，以书面形式通知所有获取招标文件的潜在投标人；不足</w:t>
      </w:r>
      <w:r>
        <w:rPr>
          <w:rFonts w:ascii="Times New Roman" w:hAnsi="Times New Roman" w:eastAsia="Times New Roman" w:cs="Times New Roman"/>
          <w:color w:val="auto"/>
          <w:sz w:val="24"/>
        </w:rPr>
        <w:t xml:space="preserve">15</w:t>
      </w:r>
      <w:r>
        <w:rPr>
          <w:rFonts w:ascii="SimSun" w:hAnsi="SimSun" w:eastAsia="SimSun" w:cs="SimSun"/>
          <w:color w:val="auto"/>
          <w:sz w:val="24"/>
        </w:rPr>
        <w:t xml:space="preserve">日的，采购代理机构应当顺延提交投标文件的截止时间。</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 </w:t>
      </w:r>
      <w:r>
        <w:rPr>
          <w:rFonts w:ascii="SimSun" w:hAnsi="SimSun" w:eastAsia="SimSun" w:cs="SimSun"/>
          <w:color w:val="auto"/>
          <w:sz w:val="24"/>
        </w:rPr>
        <w:t xml:space="preserve">现场考察以本文件第三章《投标资料表》中的要求为准。</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3. </w:t>
      </w:r>
      <w:r>
        <w:rPr>
          <w:rFonts w:ascii="SimSun" w:hAnsi="SimSun" w:eastAsia="SimSun" w:cs="SimSun"/>
          <w:color w:val="auto"/>
          <w:sz w:val="24"/>
        </w:rPr>
        <w:t xml:space="preserve">开标前答疑会以本文件第三章《投标资料表》中的要求为准。</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三、投标</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（十）投标人应当按照招标文件的要求编制投标文件。投标文件应对招标文件提出的要求和条件作出实质性响应。</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（十一）投标文件的语言。投标文件以及投标人与采购代理机构就有关投标的往来函电均应使用本文件第三章《投标资料表》规定的语言书写，否则无效。</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（十二）投标文件的构成：</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 </w:t>
      </w:r>
      <w:r>
        <w:rPr>
          <w:rFonts w:ascii="SimSun" w:hAnsi="SimSun" w:eastAsia="SimSun" w:cs="SimSun"/>
          <w:color w:val="auto"/>
          <w:sz w:val="24"/>
        </w:rPr>
        <w:t xml:space="preserve">投标文件的构成以本文件第三章《投标资料表》中的要求为准。</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 </w:t>
      </w:r>
      <w:r>
        <w:rPr>
          <w:rFonts w:ascii="SimSun" w:hAnsi="SimSun" w:eastAsia="SimSun" w:cs="SimSun"/>
          <w:color w:val="auto"/>
          <w:sz w:val="24"/>
        </w:rPr>
        <w:t xml:space="preserve">投标人应当提交的资格、资信证明文件，以本文件第三章《投标资料表》中的所提要求为准。</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（十三）投标函和价格表、商务条件、交货和提供服务的时间：</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 </w:t>
      </w:r>
      <w:r>
        <w:rPr>
          <w:rFonts w:ascii="SimSun" w:hAnsi="SimSun" w:eastAsia="SimSun" w:cs="SimSun"/>
          <w:color w:val="auto"/>
          <w:sz w:val="24"/>
        </w:rPr>
        <w:t xml:space="preserve">投标函和价格表的要求见本章（十二）、（十三），格式见本文件第七章《投标文件相关格式》中《投标函》和《开标一览表》。</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 </w:t>
      </w:r>
      <w:r>
        <w:rPr>
          <w:rFonts w:ascii="SimSun" w:hAnsi="SimSun" w:eastAsia="SimSun" w:cs="SimSun"/>
          <w:color w:val="auto"/>
          <w:sz w:val="24"/>
        </w:rPr>
        <w:t xml:space="preserve">商务条件以本文件第三章《投标资料表》中的要求为准。</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3. </w:t>
      </w:r>
      <w:r>
        <w:rPr>
          <w:rFonts w:ascii="SimSun" w:hAnsi="SimSun" w:eastAsia="SimSun" w:cs="SimSun"/>
          <w:color w:val="auto"/>
          <w:sz w:val="24"/>
        </w:rPr>
        <w:t xml:space="preserve">交货和提供服务的时间，以本文件第三章《投标资料表》中所提要求为准。</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（十四）投标报价要求：</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 </w:t>
      </w:r>
      <w:r>
        <w:rPr>
          <w:rFonts w:ascii="SimSun" w:hAnsi="SimSun" w:eastAsia="SimSun" w:cs="SimSun"/>
          <w:color w:val="auto"/>
          <w:sz w:val="24"/>
        </w:rPr>
        <w:t xml:space="preserve">投标人应按照招标文件的要求报出分项价格和总价。</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 </w:t>
      </w:r>
      <w:r>
        <w:rPr>
          <w:rFonts w:ascii="SimSun" w:hAnsi="SimSun" w:eastAsia="SimSun" w:cs="SimSun"/>
          <w:color w:val="auto"/>
          <w:sz w:val="24"/>
        </w:rPr>
        <w:t xml:space="preserve">投标人应按照招标文件的要求进行报价，如投标人作出偏离，应在《偏离表》中列出。</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3. </w:t>
      </w:r>
      <w:r>
        <w:rPr>
          <w:rFonts w:ascii="SimSun" w:hAnsi="SimSun" w:eastAsia="SimSun" w:cs="SimSun"/>
          <w:color w:val="auto"/>
          <w:sz w:val="24"/>
        </w:rPr>
        <w:t xml:space="preserve">采购人不支付报价以外的任何费用。</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4. </w:t>
      </w:r>
      <w:r>
        <w:rPr>
          <w:rFonts w:ascii="SimSun" w:hAnsi="SimSun" w:eastAsia="SimSun" w:cs="SimSun"/>
          <w:color w:val="auto"/>
          <w:sz w:val="24"/>
        </w:rPr>
        <w:t xml:space="preserve">投标人所报的价格，在合同执行过程中是固定的，不得以任何理由予以变更。投标人提交滑动价格的投标文件，在资格性、符合性检查时按照无效投标处理。</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5. </w:t>
      </w:r>
      <w:r>
        <w:rPr>
          <w:rFonts w:ascii="SimSun" w:hAnsi="SimSun" w:eastAsia="SimSun" w:cs="SimSun"/>
          <w:color w:val="auto"/>
          <w:sz w:val="24"/>
        </w:rPr>
        <w:t xml:space="preserve">投标人只能提交一个投标价格，投标人提交多个价格的投标文件，在资格性、符合性检查时按照无效投标处理。</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（十五）投标货币。以本文件第三章《投标资料表》中所提要求为准。</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（十六）投标有效期：</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 </w:t>
      </w:r>
      <w:r>
        <w:rPr>
          <w:rFonts w:ascii="SimSun" w:hAnsi="SimSun" w:eastAsia="SimSun" w:cs="SimSun"/>
          <w:color w:val="auto"/>
          <w:sz w:val="24"/>
        </w:rPr>
        <w:t xml:space="preserve">投标有效期为开标之日后</w:t>
      </w:r>
      <w:r>
        <w:rPr>
          <w:rFonts w:ascii="Times New Roman" w:hAnsi="Times New Roman" w:eastAsia="Times New Roman" w:cs="Times New Roman"/>
          <w:color w:val="auto"/>
          <w:sz w:val="24"/>
        </w:rPr>
        <w:t xml:space="preserve">90</w:t>
      </w:r>
      <w:r>
        <w:rPr>
          <w:rFonts w:ascii="SimSun" w:hAnsi="SimSun" w:eastAsia="SimSun" w:cs="SimSun"/>
          <w:color w:val="auto"/>
          <w:sz w:val="24"/>
        </w:rPr>
        <w:t xml:space="preserve">天。采购人可以要求对投标有效期延长一次，但该延长期最长不得超过</w:t>
      </w:r>
      <w:r>
        <w:rPr>
          <w:rFonts w:ascii="Times New Roman" w:hAnsi="Times New Roman" w:eastAsia="Times New Roman" w:cs="Times New Roman"/>
          <w:color w:val="auto"/>
          <w:sz w:val="24"/>
        </w:rPr>
        <w:t xml:space="preserve">30</w:t>
      </w:r>
      <w:r>
        <w:rPr>
          <w:rFonts w:ascii="SimSun" w:hAnsi="SimSun" w:eastAsia="SimSun" w:cs="SimSun"/>
          <w:color w:val="auto"/>
          <w:sz w:val="24"/>
        </w:rPr>
        <w:t xml:space="preserve">天。</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 </w:t>
      </w:r>
      <w:r>
        <w:rPr>
          <w:rFonts w:ascii="SimSun" w:hAnsi="SimSun" w:eastAsia="SimSun" w:cs="SimSun"/>
          <w:color w:val="auto"/>
          <w:sz w:val="24"/>
        </w:rPr>
        <w:t xml:space="preserve">采购人要求延长投标有效期的，必须要在距投标有效期满</w:t>
      </w:r>
      <w:r>
        <w:rPr>
          <w:rFonts w:ascii="Times New Roman" w:hAnsi="Times New Roman" w:eastAsia="Times New Roman" w:cs="Times New Roman"/>
          <w:color w:val="auto"/>
          <w:sz w:val="24"/>
        </w:rPr>
        <w:t xml:space="preserve">20</w:t>
      </w:r>
      <w:r>
        <w:rPr>
          <w:rFonts w:ascii="SimSun" w:hAnsi="SimSun" w:eastAsia="SimSun" w:cs="SimSun"/>
          <w:color w:val="auto"/>
          <w:sz w:val="24"/>
        </w:rPr>
        <w:t xml:space="preserve">日之前，以书面形式通知投标人，如果有关投标人同意延长投标有效期的要求，其应在原投标有效期期满前以书面形式向采购人确认。</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3. </w:t>
      </w:r>
      <w:r>
        <w:rPr>
          <w:rFonts w:ascii="SimSun" w:hAnsi="SimSun" w:eastAsia="SimSun" w:cs="SimSun"/>
          <w:color w:val="auto"/>
          <w:sz w:val="24"/>
        </w:rPr>
        <w:t xml:space="preserve">如果采购人发出要求延长投标有效期的通知，并在投标有效期届满前，没有收到投标人同意的书面通知，则视为该投标人不接受上述延期的要求。</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（十七）投标文件的编制要求和签署要求</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）投标人应由其法定代表人或法定代表人授权代表在规定的网上投标时间，凭 </w:t>
      </w:r>
      <w:r>
        <w:rPr>
          <w:rFonts w:ascii="Times New Roman" w:hAnsi="Times New Roman" w:eastAsia="Times New Roman" w:cs="Times New Roman"/>
          <w:color w:val="auto"/>
          <w:sz w:val="24"/>
        </w:rPr>
        <w:t xml:space="preserve">CA </w:t>
      </w:r>
      <w:r>
        <w:rPr>
          <w:rFonts w:ascii="SimSun" w:hAnsi="SimSun" w:eastAsia="SimSun" w:cs="SimSun"/>
          <w:color w:val="auto"/>
          <w:sz w:val="24"/>
        </w:rPr>
        <w:t xml:space="preserve">证书登陆“苏采云”系统在线编制投标文件（电子数据），并在投标截止时间之前上传投标文件。</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2</w:t>
      </w:r>
      <w:r>
        <w:rPr>
          <w:rFonts w:ascii="SimSun" w:hAnsi="SimSun" w:eastAsia="SimSun" w:cs="SimSun"/>
          <w:color w:val="auto"/>
          <w:sz w:val="24"/>
        </w:rPr>
        <w:t xml:space="preserve">）投标人应对 </w:t>
      </w:r>
      <w:r>
        <w:rPr>
          <w:rFonts w:ascii="Times New Roman" w:hAnsi="Times New Roman" w:eastAsia="Times New Roman" w:cs="Times New Roman"/>
          <w:color w:val="auto"/>
          <w:sz w:val="24"/>
        </w:rPr>
        <w:t xml:space="preserve">CA </w:t>
      </w:r>
      <w:r>
        <w:rPr>
          <w:rFonts w:ascii="SimSun" w:hAnsi="SimSun" w:eastAsia="SimSun" w:cs="SimSun"/>
          <w:color w:val="auto"/>
          <w:sz w:val="24"/>
        </w:rPr>
        <w:t xml:space="preserve">证书妥善保管，如被他人盗用投标，因此带来的结果均由投标人自行承担。</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3</w:t>
      </w:r>
      <w:r>
        <w:rPr>
          <w:rFonts w:ascii="SimSun" w:hAnsi="SimSun" w:eastAsia="SimSun" w:cs="SimSun"/>
          <w:color w:val="auto"/>
          <w:sz w:val="24"/>
        </w:rPr>
        <w:t xml:space="preserve">）投标人应当对招标文件提出的要求和条件作出实质性响应，并在电子投标系统逐条应答。</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4</w:t>
      </w:r>
      <w:r>
        <w:rPr>
          <w:rFonts w:ascii="SimSun" w:hAnsi="SimSun" w:eastAsia="SimSun" w:cs="SimSun"/>
          <w:color w:val="auto"/>
          <w:sz w:val="24"/>
        </w:rPr>
        <w:t xml:space="preserve">）投标人应对要求提供的资格证明文件（如资质证书、资格证书）、技术资料（如白皮书、彩页、手册、检测报告等）扫描上传至投标系统。</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（十八）投标文件的盖章要求：</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投标文件的盖章要求，以本文件第三章《投标资料表》中所提要求为准。</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（十九）提交投标文件的截止时间和收到投标文件后注意事项。投标人应在招标文件要求的提交投标文件的截止时间前，将投标文件提交至“苏采云”系统。</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（二十）凡在招标文件要求提交投标文件的截止时间之后送达的投标文件，均为无效投标文件，“苏采云”系统将自动拒收。各投标人应在规定时间内通过 </w:t>
      </w:r>
      <w:r>
        <w:rPr>
          <w:rFonts w:ascii="Times New Roman" w:hAnsi="Times New Roman" w:eastAsia="Times New Roman" w:cs="Times New Roman"/>
          <w:color w:val="auto"/>
          <w:sz w:val="24"/>
        </w:rPr>
        <w:t xml:space="preserve">CA </w:t>
      </w:r>
      <w:r>
        <w:rPr>
          <w:rFonts w:ascii="SimSun" w:hAnsi="SimSun" w:eastAsia="SimSun" w:cs="SimSun"/>
          <w:color w:val="auto"/>
          <w:sz w:val="24"/>
        </w:rPr>
        <w:t xml:space="preserve">证书进行网上解密。</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（二十一）投标人在投标截止时间前，可以对所递交的投标文件进行补充、修改或者撤回。其所进行补充、修改的内容，应当按照招标文件要求进行签署、盖章，然后纳为投标文件的组成部分。</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（二十二）本项目不允许分包。</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（二十三）投标人应当遵循公平竞争的原则，不得恶意串通，不得妨碍其他投标人的竞争行为，不得损害采购人或者其他投标人的合法权益。</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在评标过程中发现投标人有上述情形的，评标委员会应当认定其投标无效，并书面报告本级财政部门。</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（二十四）有下列情形之一的，其投标无效。</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 </w:t>
      </w:r>
      <w:r>
        <w:rPr>
          <w:rFonts w:ascii="SimSun" w:hAnsi="SimSun" w:eastAsia="SimSun" w:cs="SimSun"/>
          <w:color w:val="auto"/>
          <w:sz w:val="24"/>
        </w:rPr>
        <w:t xml:space="preserve">不同投标人的投标文件，由同一单位或者个人编制；</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 </w:t>
      </w:r>
      <w:r>
        <w:rPr>
          <w:rFonts w:ascii="SimSun" w:hAnsi="SimSun" w:eastAsia="SimSun" w:cs="SimSun"/>
          <w:color w:val="auto"/>
          <w:sz w:val="24"/>
        </w:rPr>
        <w:t xml:space="preserve">不同投标人委托同一单位或者个人办理投标事宜；</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3. </w:t>
      </w:r>
      <w:r>
        <w:rPr>
          <w:rFonts w:ascii="SimSun" w:hAnsi="SimSun" w:eastAsia="SimSun" w:cs="SimSun"/>
          <w:color w:val="auto"/>
          <w:sz w:val="24"/>
        </w:rPr>
        <w:t xml:space="preserve">不同投标人的投标文件中，所载明的项目管理成员或联系人为同一人；</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4. </w:t>
      </w:r>
      <w:r>
        <w:rPr>
          <w:rFonts w:ascii="SimSun" w:hAnsi="SimSun" w:eastAsia="SimSun" w:cs="SimSun"/>
          <w:color w:val="auto"/>
          <w:sz w:val="24"/>
        </w:rPr>
        <w:t xml:space="preserve">不同投标人的投标文件，异常一致或者投标报价呈规律性差异；</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5. </w:t>
      </w:r>
      <w:r>
        <w:rPr>
          <w:rFonts w:ascii="SimSun" w:hAnsi="SimSun" w:eastAsia="SimSun" w:cs="SimSun"/>
          <w:color w:val="auto"/>
          <w:sz w:val="24"/>
        </w:rPr>
        <w:t xml:space="preserve">不同投标人投标文件内容存在非正常一致、项目组成员出现同一人、投标文件中错误（或异常）一致或雷同、电子文档信息一致或雷同的、投标报价呈规律性差异的；</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6. </w:t>
      </w:r>
      <w:r>
        <w:rPr>
          <w:rFonts w:ascii="SimSun" w:hAnsi="SimSun" w:eastAsia="SimSun" w:cs="SimSun"/>
          <w:color w:val="auto"/>
          <w:sz w:val="24"/>
        </w:rPr>
        <w:t xml:space="preserve">电子投标文件未按规定期限投标的；</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7. </w:t>
      </w:r>
      <w:r>
        <w:rPr>
          <w:rFonts w:ascii="SimSun" w:hAnsi="SimSun" w:eastAsia="SimSun" w:cs="SimSun"/>
          <w:color w:val="auto"/>
          <w:sz w:val="24"/>
        </w:rPr>
        <w:t xml:space="preserve">电子投标文件未按招标文件要求签章的；</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8. </w:t>
      </w:r>
      <w:r>
        <w:rPr>
          <w:rFonts w:ascii="SimSun" w:hAnsi="SimSun" w:eastAsia="SimSun" w:cs="SimSun"/>
          <w:color w:val="auto"/>
          <w:sz w:val="24"/>
        </w:rPr>
        <w:t xml:space="preserve">投标人未在规定时间内解密电子投标文件的；</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9. </w:t>
      </w:r>
      <w:r>
        <w:rPr>
          <w:rFonts w:ascii="SimSun" w:hAnsi="SimSun" w:eastAsia="SimSun" w:cs="SimSun"/>
          <w:color w:val="auto"/>
          <w:sz w:val="24"/>
        </w:rPr>
        <w:t xml:space="preserve">投标文件未按招标文件规定的内容和要求填写的；没有在投标系统指定位置上传对应文件、材料的；</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10. </w:t>
      </w:r>
      <w:r>
        <w:rPr>
          <w:rFonts w:ascii="SimSun" w:hAnsi="SimSun" w:eastAsia="SimSun" w:cs="SimSun"/>
          <w:color w:val="auto"/>
          <w:sz w:val="24"/>
        </w:rPr>
        <w:t xml:space="preserve">不具备招标文件中规定的资格要求的；</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11. </w:t>
      </w:r>
      <w:r>
        <w:rPr>
          <w:rFonts w:ascii="SimSun" w:hAnsi="SimSun" w:eastAsia="SimSun" w:cs="SimSun"/>
          <w:color w:val="auto"/>
          <w:sz w:val="24"/>
        </w:rPr>
        <w:t xml:space="preserve">报价超过招标文件中规定的预算金额或者最高限价的；</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12. </w:t>
      </w:r>
      <w:r>
        <w:rPr>
          <w:rFonts w:ascii="SimSun" w:hAnsi="SimSun" w:eastAsia="SimSun" w:cs="SimSun"/>
          <w:color w:val="auto"/>
          <w:sz w:val="24"/>
        </w:rPr>
        <w:t xml:space="preserve">投标文件含有采购人不能接受的附加条件的；</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13. </w:t>
      </w:r>
      <w:r>
        <w:rPr>
          <w:rFonts w:ascii="SimSun" w:hAnsi="SimSun" w:eastAsia="SimSun" w:cs="SimSun"/>
          <w:color w:val="auto"/>
          <w:sz w:val="24"/>
        </w:rPr>
        <w:t xml:space="preserve">法律、法规和招标文件规定的其他无效情形。</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四、开标</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（二十五）开标：</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 </w:t>
      </w:r>
      <w:r>
        <w:rPr>
          <w:rFonts w:ascii="SimSun" w:hAnsi="SimSun" w:eastAsia="SimSun" w:cs="SimSun"/>
          <w:color w:val="auto"/>
          <w:sz w:val="24"/>
        </w:rPr>
        <w:t xml:space="preserve">开标时间及地点。开标应当在招标文件确定的提交投标文件截止时间的同一时间公开进行；开标地点应当为招标文件中预先确定的地点。</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 </w:t>
      </w:r>
      <w:r>
        <w:rPr>
          <w:rFonts w:ascii="SimSun" w:hAnsi="SimSun" w:eastAsia="SimSun" w:cs="SimSun"/>
          <w:color w:val="auto"/>
          <w:sz w:val="24"/>
        </w:rPr>
        <w:t xml:space="preserve">由电子招标投标交易平台主持，邀请投标人参加。</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3. </w:t>
      </w:r>
      <w:r>
        <w:rPr>
          <w:rFonts w:ascii="SimSun" w:hAnsi="SimSun" w:eastAsia="SimSun" w:cs="SimSun"/>
          <w:color w:val="auto"/>
          <w:sz w:val="24"/>
        </w:rPr>
        <w:t xml:space="preserve">所有投标单位使用 </w:t>
      </w:r>
      <w:r>
        <w:rPr>
          <w:rFonts w:ascii="Times New Roman" w:hAnsi="Times New Roman" w:eastAsia="Times New Roman" w:cs="Times New Roman"/>
          <w:color w:val="auto"/>
          <w:sz w:val="24"/>
        </w:rPr>
        <w:t xml:space="preserve">CA </w:t>
      </w:r>
      <w:r>
        <w:rPr>
          <w:rFonts w:ascii="SimSun" w:hAnsi="SimSun" w:eastAsia="SimSun" w:cs="SimSun"/>
          <w:color w:val="auto"/>
          <w:sz w:val="24"/>
        </w:rPr>
        <w:t xml:space="preserve">证书在开标时间时，解密各自投标文件，由工作人员操作系统进行开标，投标人不足</w:t>
      </w:r>
      <w:r>
        <w:rPr>
          <w:rFonts w:ascii="Times New Roman" w:hAnsi="Times New Roman" w:eastAsia="Times New Roman" w:cs="Times New Roman"/>
          <w:color w:val="auto"/>
          <w:sz w:val="24"/>
        </w:rPr>
        <w:t xml:space="preserve">3</w:t>
      </w:r>
      <w:r>
        <w:rPr>
          <w:rFonts w:ascii="SimSun" w:hAnsi="SimSun" w:eastAsia="SimSun" w:cs="SimSun"/>
          <w:color w:val="auto"/>
          <w:sz w:val="24"/>
        </w:rPr>
        <w:t xml:space="preserve">家的，不得评标。</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4. </w:t>
      </w:r>
      <w:r>
        <w:rPr>
          <w:rFonts w:ascii="SimSun" w:hAnsi="SimSun" w:eastAsia="SimSun" w:cs="SimSun"/>
          <w:color w:val="auto"/>
          <w:sz w:val="24"/>
        </w:rPr>
        <w:t xml:space="preserve">投标人原因造成投标文件未解密的，视为撤销其投标文件</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因投标人之外的原因造成投标文件未解密的，视为撤回其投标文件。部分投标文件未解密的，其他投标文件的开标可以继续进行。</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五、评标</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（二十六）公开招标采购项目开标结束后，采购人依法对投标人的资格进行审查。合格投标人不足</w:t>
      </w:r>
      <w:r>
        <w:rPr>
          <w:rFonts w:ascii="Times New Roman" w:hAnsi="Times New Roman" w:eastAsia="Times New Roman" w:cs="Times New Roman"/>
          <w:color w:val="auto"/>
          <w:sz w:val="24"/>
        </w:rPr>
        <w:t xml:space="preserve">3</w:t>
      </w:r>
      <w:r>
        <w:rPr>
          <w:rFonts w:ascii="SimSun" w:hAnsi="SimSun" w:eastAsia="SimSun" w:cs="SimSun"/>
          <w:color w:val="auto"/>
          <w:sz w:val="24"/>
        </w:rPr>
        <w:t xml:space="preserve">家的，不得评标。</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 </w:t>
      </w:r>
      <w:r>
        <w:rPr>
          <w:rFonts w:ascii="SimSun" w:hAnsi="SimSun" w:eastAsia="SimSun" w:cs="SimSun"/>
          <w:color w:val="auto"/>
          <w:sz w:val="24"/>
        </w:rPr>
        <w:t xml:space="preserve">评标工作由采购代理机构负责组织，并履行下列职责：</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）核对评审专家身份和采购人代表授权函，对评审专家在政府采购活动中的职责履行情况予以记录，并及时将有关违法违规行为向财政部门报告；</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2</w:t>
      </w:r>
      <w:r>
        <w:rPr>
          <w:rFonts w:ascii="SimSun" w:hAnsi="SimSun" w:eastAsia="SimSun" w:cs="SimSun"/>
          <w:color w:val="auto"/>
          <w:sz w:val="24"/>
        </w:rPr>
        <w:t xml:space="preserve">）宣布评标纪律；</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3</w:t>
      </w:r>
      <w:r>
        <w:rPr>
          <w:rFonts w:ascii="SimSun" w:hAnsi="SimSun" w:eastAsia="SimSun" w:cs="SimSun"/>
          <w:color w:val="auto"/>
          <w:sz w:val="24"/>
        </w:rPr>
        <w:t xml:space="preserve">）公布投标人名单，告知评审专家应当回避的情形；</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4</w:t>
      </w:r>
      <w:r>
        <w:rPr>
          <w:rFonts w:ascii="SimSun" w:hAnsi="SimSun" w:eastAsia="SimSun" w:cs="SimSun"/>
          <w:color w:val="auto"/>
          <w:sz w:val="24"/>
        </w:rPr>
        <w:t xml:space="preserve">）组织评标委员会推选评标组长（采购人代表不得担任组长）；</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5</w:t>
      </w:r>
      <w:r>
        <w:rPr>
          <w:rFonts w:ascii="SimSun" w:hAnsi="SimSun" w:eastAsia="SimSun" w:cs="SimSun"/>
          <w:color w:val="auto"/>
          <w:sz w:val="24"/>
        </w:rPr>
        <w:t xml:space="preserve">）在评标期间采取必要的通讯管理措施，保证评标活动不受外界干扰；</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6</w:t>
      </w:r>
      <w:r>
        <w:rPr>
          <w:rFonts w:ascii="SimSun" w:hAnsi="SimSun" w:eastAsia="SimSun" w:cs="SimSun"/>
          <w:color w:val="auto"/>
          <w:sz w:val="24"/>
        </w:rPr>
        <w:t xml:space="preserve">）根据评标委员会的要求介绍政府采购相关政策法规、招标文件；</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7</w:t>
      </w:r>
      <w:r>
        <w:rPr>
          <w:rFonts w:ascii="SimSun" w:hAnsi="SimSun" w:eastAsia="SimSun" w:cs="SimSun"/>
          <w:color w:val="auto"/>
          <w:sz w:val="24"/>
        </w:rPr>
        <w:t xml:space="preserve">）维护评标秩序，监督评标委员会依照招标文件规定的评标程序、方法和标准进行独立评审。及时制止和纠正采购人代表、评审专家的倾向性言论或者违法违规行为；</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8</w:t>
      </w:r>
      <w:r>
        <w:rPr>
          <w:rFonts w:ascii="SimSun" w:hAnsi="SimSun" w:eastAsia="SimSun" w:cs="SimSun"/>
          <w:color w:val="auto"/>
          <w:sz w:val="24"/>
        </w:rPr>
        <w:t xml:space="preserve">）核对评标结果，对有《政府采购货物和服务招标投标管理办法》第六十四条规定情形的，应要求评标委员会复核或者书面说明理由，评标委员会拒绝的，应予记录并向本级财政部门报告；</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9</w:t>
      </w:r>
      <w:r>
        <w:rPr>
          <w:rFonts w:ascii="SimSun" w:hAnsi="SimSun" w:eastAsia="SimSun" w:cs="SimSun"/>
          <w:color w:val="auto"/>
          <w:sz w:val="24"/>
        </w:rPr>
        <w:t xml:space="preserve">）评审工作完成后，按照规定向评审专家支付劳务报酬和异地评审差旅费，不得向评审专家以外的其他人员支付评审劳务报酬； </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10</w:t>
      </w:r>
      <w:r>
        <w:rPr>
          <w:rFonts w:ascii="SimSun" w:hAnsi="SimSun" w:eastAsia="SimSun" w:cs="SimSun"/>
          <w:color w:val="auto"/>
          <w:sz w:val="24"/>
        </w:rPr>
        <w:t xml:space="preserve">）处理与评标有关的其他事项。</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采购人可以在评标前说明项目背景和采购需求，说明内容不得含有歧视性、倾向性意见，不得超出招标文件所述范围。其说明应当提交书面材料，并随采购文件一并存档。</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 </w:t>
      </w:r>
      <w:r>
        <w:rPr>
          <w:rFonts w:ascii="SimSun" w:hAnsi="SimSun" w:eastAsia="SimSun" w:cs="SimSun"/>
          <w:color w:val="auto"/>
          <w:sz w:val="24"/>
        </w:rPr>
        <w:t xml:space="preserve">评标委员会负责具体评标事务，并独立履行下列职责：</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）审查、评价投标文件是否符合招标文件的商务、技术等实质性要求；</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2</w:t>
      </w:r>
      <w:r>
        <w:rPr>
          <w:rFonts w:ascii="SimSun" w:hAnsi="SimSun" w:eastAsia="SimSun" w:cs="SimSun"/>
          <w:color w:val="auto"/>
          <w:sz w:val="24"/>
        </w:rPr>
        <w:t xml:space="preserve">）要求投标人对投标文件有关事项作出澄清或者说明；</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3</w:t>
      </w:r>
      <w:r>
        <w:rPr>
          <w:rFonts w:ascii="SimSun" w:hAnsi="SimSun" w:eastAsia="SimSun" w:cs="SimSun"/>
          <w:color w:val="auto"/>
          <w:sz w:val="24"/>
        </w:rPr>
        <w:t xml:space="preserve">）对投标文件进行比较和评价；</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4</w:t>
      </w:r>
      <w:r>
        <w:rPr>
          <w:rFonts w:ascii="SimSun" w:hAnsi="SimSun" w:eastAsia="SimSun" w:cs="SimSun"/>
          <w:color w:val="auto"/>
          <w:sz w:val="24"/>
        </w:rPr>
        <w:t xml:space="preserve">）确定中标候选人名单，以及根据采购人委托直接确定中标人；</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5</w:t>
      </w:r>
      <w:r>
        <w:rPr>
          <w:rFonts w:ascii="SimSun" w:hAnsi="SimSun" w:eastAsia="SimSun" w:cs="SimSun"/>
          <w:color w:val="auto"/>
          <w:sz w:val="24"/>
        </w:rPr>
        <w:t xml:space="preserve">）向采购人、采购代理机构或有关部门报告评标中发现的违法行为。</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（二十七）评标方法分为最低评标价法和综合评分法。</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（二十八）评标</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 </w:t>
      </w:r>
      <w:r>
        <w:rPr>
          <w:rFonts w:ascii="SimSun" w:hAnsi="SimSun" w:eastAsia="SimSun" w:cs="SimSun"/>
          <w:color w:val="auto"/>
          <w:sz w:val="24"/>
        </w:rPr>
        <w:t xml:space="preserve">评标工作程序：</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）投标文件初审。</w:t>
      </w:r>
      <w:r>
        <w:rPr>
          <w:color w:val="auto"/>
        </w:rPr>
      </w:r>
      <w:r/>
    </w:p>
    <w:p>
      <w:pPr>
        <w:ind w:left="48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①资格性审查。</w:t>
      </w:r>
      <w:r>
        <w:rPr>
          <w:color w:val="auto"/>
        </w:rPr>
      </w:r>
      <w:r/>
    </w:p>
    <w:p>
      <w:pPr>
        <w:ind w:left="48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②符合性审查。</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2</w:t>
      </w:r>
      <w:r>
        <w:rPr>
          <w:rFonts w:ascii="SimSun" w:hAnsi="SimSun" w:eastAsia="SimSun" w:cs="SimSun"/>
          <w:color w:val="auto"/>
          <w:sz w:val="24"/>
        </w:rPr>
        <w:t xml:space="preserve">）澄清有关问题。</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3</w:t>
      </w:r>
      <w:r>
        <w:rPr>
          <w:rFonts w:ascii="SimSun" w:hAnsi="SimSun" w:eastAsia="SimSun" w:cs="SimSun"/>
          <w:color w:val="auto"/>
          <w:sz w:val="24"/>
        </w:rPr>
        <w:t xml:space="preserve">）比较与评价。</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4</w:t>
      </w:r>
      <w:r>
        <w:rPr>
          <w:rFonts w:ascii="SimSun" w:hAnsi="SimSun" w:eastAsia="SimSun" w:cs="SimSun"/>
          <w:color w:val="auto"/>
          <w:sz w:val="24"/>
        </w:rPr>
        <w:t xml:space="preserve">）推荐中标候选供应商名单。</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5</w:t>
      </w:r>
      <w:r>
        <w:rPr>
          <w:rFonts w:ascii="SimSun" w:hAnsi="SimSun" w:eastAsia="SimSun" w:cs="SimSun"/>
          <w:color w:val="auto"/>
          <w:sz w:val="24"/>
        </w:rPr>
        <w:t xml:space="preserve">）编写评审报告（评标报告）。</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 </w:t>
      </w:r>
      <w:r>
        <w:rPr>
          <w:rFonts w:ascii="SimSun" w:hAnsi="SimSun" w:eastAsia="SimSun" w:cs="SimSun"/>
          <w:color w:val="auto"/>
          <w:sz w:val="24"/>
        </w:rPr>
        <w:t xml:space="preserve">在评标中，不得改变招标文件中规定的评标标准、方法和中标条件。评标委员会对投标文件响应性的判定，要基于投标文件本身的内容，而不得寻求外部的证据。</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3. </w:t>
      </w:r>
      <w:r>
        <w:rPr>
          <w:rFonts w:ascii="SimSun" w:hAnsi="SimSun" w:eastAsia="SimSun" w:cs="SimSun"/>
          <w:color w:val="auto"/>
          <w:sz w:val="24"/>
        </w:rPr>
        <w:t xml:space="preserve">采用最低评标价法的采购项目，对提供相同品牌产品的不同投标人参加同一合同项下投标的，应以其中通过资格审查、符合性审查的，并且报价最低的参加评标；报价相同的，采取随机抽取方式确定，其他投标无效。</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4. </w:t>
      </w:r>
      <w:r>
        <w:rPr>
          <w:rFonts w:ascii="SimSun" w:hAnsi="SimSun" w:eastAsia="SimSun" w:cs="SimSun"/>
          <w:color w:val="auto"/>
          <w:sz w:val="24"/>
        </w:rPr>
        <w:t xml:space="preserve">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5. </w:t>
      </w:r>
      <w:r>
        <w:rPr>
          <w:rFonts w:ascii="SimSun" w:hAnsi="SimSun" w:eastAsia="SimSun" w:cs="SimSun"/>
          <w:color w:val="auto"/>
          <w:sz w:val="24"/>
        </w:rPr>
        <w:t xml:space="preserve">非单一产品采购项目，多家投标人提供的核心产品品牌相同的，按前两款规定处理。</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（二十九）投标文件报价出现前后不一致的，按照下列规定修正：</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 </w:t>
      </w:r>
      <w:r>
        <w:rPr>
          <w:rFonts w:ascii="SimSun" w:hAnsi="SimSun" w:eastAsia="SimSun" w:cs="SimSun"/>
          <w:color w:val="auto"/>
          <w:sz w:val="24"/>
        </w:rPr>
        <w:t xml:space="preserve">投标文件中开标一览表（报价表）内容与投标文件中相应内容不一致的，以开标一览表（报价表）为准；</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 </w:t>
      </w:r>
      <w:r>
        <w:rPr>
          <w:rFonts w:ascii="SimSun" w:hAnsi="SimSun" w:eastAsia="SimSun" w:cs="SimSun"/>
          <w:color w:val="auto"/>
          <w:sz w:val="24"/>
        </w:rPr>
        <w:t xml:space="preserve">大写金额和小写金额不一致的，以大写金额为准；</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3. </w:t>
      </w:r>
      <w:r>
        <w:rPr>
          <w:rFonts w:ascii="SimSun" w:hAnsi="SimSun" w:eastAsia="SimSun" w:cs="SimSun"/>
          <w:color w:val="auto"/>
          <w:sz w:val="24"/>
        </w:rPr>
        <w:t xml:space="preserve">单价金额小数点或者百分比有明显错位的，以开标一览表的总价为准，并修改单价；</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4. </w:t>
      </w:r>
      <w:r>
        <w:rPr>
          <w:rFonts w:ascii="SimSun" w:hAnsi="SimSun" w:eastAsia="SimSun" w:cs="SimSun"/>
          <w:color w:val="auto"/>
          <w:sz w:val="24"/>
        </w:rPr>
        <w:t xml:space="preserve">总价金额与按单价合计金额不一致的，以单价金额计算结果为准。</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同时出现两种以上不一致的，按照前款规定的顺序修正。将修正后的报价，形成投标人的澄清、说明或补正材料，经投标人确认后产生约束力。投标人不确认的，其投标无效。</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评标中需要投标人对投标文件澄清或者说明的，应当通过“苏采云”系统交换数据电文。在评标期间，请投标人保持在线。</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（三十）异常低价审查</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评标委员会启动异常低价投标审查的情形和具体要求，包括</w:t>
      </w:r>
      <w:r>
        <w:rPr>
          <w:rFonts w:ascii="Times New Roman" w:hAnsi="Times New Roman" w:eastAsia="Times New Roman" w:cs="Times New Roman"/>
          <w:color w:val="auto"/>
          <w:sz w:val="24"/>
        </w:rPr>
        <w:t xml:space="preserve">:</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评审过程中出现下列情形之一的，评标委员会应当启动异常低价投标审查程序：</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）投标报价低于采购项目预算</w:t>
      </w:r>
      <w:r>
        <w:rPr>
          <w:rFonts w:ascii="Times New Roman" w:hAnsi="Times New Roman" w:eastAsia="Times New Roman" w:cs="Times New Roman"/>
          <w:color w:val="auto"/>
          <w:sz w:val="24"/>
        </w:rPr>
        <w:t xml:space="preserve">50%</w:t>
      </w:r>
      <w:r>
        <w:rPr>
          <w:rFonts w:ascii="SimSun" w:hAnsi="SimSun" w:eastAsia="SimSun" w:cs="SimSun"/>
          <w:color w:val="auto"/>
          <w:sz w:val="24"/>
        </w:rPr>
        <w:t xml:space="preserve">的，即投标报价</w:t>
      </w:r>
      <w:r>
        <w:rPr>
          <w:rFonts w:ascii="Times New Roman" w:hAnsi="Times New Roman" w:eastAsia="Times New Roman" w:cs="Times New Roman"/>
          <w:color w:val="auto"/>
          <w:sz w:val="24"/>
        </w:rPr>
        <w:t xml:space="preserve">&lt;</w:t>
      </w:r>
      <w:r>
        <w:rPr>
          <w:rFonts w:ascii="SimSun" w:hAnsi="SimSun" w:eastAsia="SimSun" w:cs="SimSun"/>
          <w:color w:val="auto"/>
          <w:sz w:val="24"/>
        </w:rPr>
        <w:t xml:space="preserve">采购项目预算×</w:t>
      </w:r>
      <w:r>
        <w:rPr>
          <w:rFonts w:ascii="Times New Roman" w:hAnsi="Times New Roman" w:eastAsia="Times New Roman" w:cs="Times New Roman"/>
          <w:color w:val="auto"/>
          <w:sz w:val="24"/>
        </w:rPr>
        <w:t xml:space="preserve">50%</w:t>
      </w:r>
      <w:r>
        <w:rPr>
          <w:rFonts w:ascii="SimSun" w:hAnsi="SimSun" w:eastAsia="SimSun" w:cs="SimSun"/>
          <w:color w:val="auto"/>
          <w:sz w:val="24"/>
        </w:rPr>
        <w:t xml:space="preserve">；</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2</w:t>
      </w:r>
      <w:r>
        <w:rPr>
          <w:rFonts w:ascii="SimSun" w:hAnsi="SimSun" w:eastAsia="SimSun" w:cs="SimSun"/>
          <w:color w:val="auto"/>
          <w:sz w:val="24"/>
        </w:rPr>
        <w:t xml:space="preserve">）投标报价低于采购项目最高限价</w:t>
      </w:r>
      <w:r>
        <w:rPr>
          <w:rFonts w:ascii="Times New Roman" w:hAnsi="Times New Roman" w:eastAsia="Times New Roman" w:cs="Times New Roman"/>
          <w:color w:val="auto"/>
          <w:sz w:val="24"/>
        </w:rPr>
        <w:t xml:space="preserve">45%</w:t>
      </w:r>
      <w:r>
        <w:rPr>
          <w:rFonts w:ascii="SimSun" w:hAnsi="SimSun" w:eastAsia="SimSun" w:cs="SimSun"/>
          <w:color w:val="auto"/>
          <w:sz w:val="24"/>
        </w:rPr>
        <w:t xml:space="preserve">的，即投标报价</w:t>
      </w:r>
      <w:r>
        <w:rPr>
          <w:rFonts w:ascii="Times New Roman" w:hAnsi="Times New Roman" w:eastAsia="Times New Roman" w:cs="Times New Roman"/>
          <w:color w:val="auto"/>
          <w:sz w:val="24"/>
        </w:rPr>
        <w:t xml:space="preserve">&lt;</w:t>
      </w:r>
      <w:r>
        <w:rPr>
          <w:rFonts w:ascii="SimSun" w:hAnsi="SimSun" w:eastAsia="SimSun" w:cs="SimSun"/>
          <w:color w:val="auto"/>
          <w:sz w:val="24"/>
        </w:rPr>
        <w:t xml:space="preserve">采购项目最高限价×</w:t>
      </w:r>
      <w:r>
        <w:rPr>
          <w:rFonts w:ascii="Times New Roman" w:hAnsi="Times New Roman" w:eastAsia="Times New Roman" w:cs="Times New Roman"/>
          <w:color w:val="auto"/>
          <w:sz w:val="24"/>
        </w:rPr>
        <w:t xml:space="preserve">45%</w:t>
      </w:r>
      <w:r>
        <w:rPr>
          <w:rFonts w:ascii="SimSun" w:hAnsi="SimSun" w:eastAsia="SimSun" w:cs="SimSun"/>
          <w:color w:val="auto"/>
          <w:sz w:val="24"/>
        </w:rPr>
        <w:t xml:space="preserve">；</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3</w:t>
      </w:r>
      <w:r>
        <w:rPr>
          <w:rFonts w:ascii="SimSun" w:hAnsi="SimSun" w:eastAsia="SimSun" w:cs="SimSun"/>
          <w:color w:val="auto"/>
          <w:sz w:val="24"/>
        </w:rPr>
        <w:t xml:space="preserve">）评标委员会认定的投标人报价过低、有可能影响产品质量或者不能诚信履约的其他情形。</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w:t>
      </w:r>
      <w:r>
        <w:rPr>
          <w:rFonts w:ascii="SimSun" w:hAnsi="SimSun" w:eastAsia="SimSun" w:cs="SimSun"/>
          <w:color w:val="auto"/>
          <w:sz w:val="24"/>
        </w:rPr>
        <w:t xml:space="preserve">启动异常低价投标审查后，评标委员会应当通过“苏采云”系统要求相关投标人在评标现场（即“苏采云”系统开标大厅中）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w:t>
      </w:r>
      <w:r>
        <w:rPr>
          <w:rFonts w:ascii="Times New Roman" w:hAnsi="Times New Roman" w:eastAsia="Times New Roman" w:cs="Times New Roman"/>
          <w:color w:val="auto"/>
          <w:sz w:val="24"/>
        </w:rPr>
        <w:t xml:space="preserve">CA</w:t>
      </w:r>
      <w:r>
        <w:rPr>
          <w:rFonts w:ascii="SimSun" w:hAnsi="SimSun" w:eastAsia="SimSun" w:cs="SimSun"/>
          <w:color w:val="auto"/>
          <w:sz w:val="24"/>
        </w:rPr>
        <w:t xml:space="preserve">数字证书”</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加盖电子签章）形式。投标人不提供书面说明、证明材料，或者提供的书面说明、证明材料不能证明其报价合理性的，评标委员会应当将其作为无效投标处理。审查相关情况应当在评标报告中进行记录。</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（三十二）废标条款：</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出现下列情形之一的，应予废标。</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 </w:t>
      </w:r>
      <w:r>
        <w:rPr>
          <w:rFonts w:ascii="SimSun" w:hAnsi="SimSun" w:eastAsia="SimSun" w:cs="SimSun"/>
          <w:color w:val="auto"/>
          <w:sz w:val="24"/>
        </w:rPr>
        <w:t xml:space="preserve">符合专业条件的供应商或者对招标文件作实质响应的供应商不足三家的；</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 </w:t>
      </w:r>
      <w:r>
        <w:rPr>
          <w:rFonts w:ascii="SimSun" w:hAnsi="SimSun" w:eastAsia="SimSun" w:cs="SimSun"/>
          <w:color w:val="auto"/>
          <w:sz w:val="24"/>
        </w:rPr>
        <w:t xml:space="preserve">出现影响采购公正的违法、违规行为的；</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3. </w:t>
      </w:r>
      <w:r>
        <w:rPr>
          <w:rFonts w:ascii="SimSun" w:hAnsi="SimSun" w:eastAsia="SimSun" w:cs="SimSun"/>
          <w:color w:val="auto"/>
          <w:sz w:val="24"/>
        </w:rPr>
        <w:t xml:space="preserve">投标人的报价均超过了采购预算，采购人不能支付的；</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4. </w:t>
      </w:r>
      <w:r>
        <w:rPr>
          <w:rFonts w:ascii="SimSun" w:hAnsi="SimSun" w:eastAsia="SimSun" w:cs="SimSun"/>
          <w:color w:val="auto"/>
          <w:sz w:val="24"/>
        </w:rPr>
        <w:t xml:space="preserve">因重大变故，采购任务取消的。</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六、定标</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（三十三）采购代理机构应当在评标结束后</w:t>
      </w:r>
      <w:r>
        <w:rPr>
          <w:rFonts w:ascii="Times New Roman" w:hAnsi="Times New Roman" w:eastAsia="Times New Roman" w:cs="Times New Roman"/>
          <w:color w:val="auto"/>
          <w:sz w:val="24"/>
        </w:rPr>
        <w:t xml:space="preserve">2</w:t>
      </w:r>
      <w:r>
        <w:rPr>
          <w:rFonts w:ascii="SimSun" w:hAnsi="SimSun" w:eastAsia="SimSun" w:cs="SimSun"/>
          <w:color w:val="auto"/>
          <w:sz w:val="24"/>
        </w:rPr>
        <w:t xml:space="preserve">个工作日内将评标报告送采购人。</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（三十四）采购人应当自收到评标报告之日起</w:t>
      </w:r>
      <w:r>
        <w:rPr>
          <w:rFonts w:ascii="Times New Roman" w:hAnsi="Times New Roman" w:eastAsia="Times New Roman" w:cs="Times New Roman"/>
          <w:color w:val="auto"/>
          <w:sz w:val="24"/>
        </w:rPr>
        <w:t xml:space="preserve">5</w:t>
      </w:r>
      <w:r>
        <w:rPr>
          <w:rFonts w:ascii="SimSun" w:hAnsi="SimSun" w:eastAsia="SimSun" w:cs="SimSun"/>
          <w:color w:val="auto"/>
          <w:sz w:val="24"/>
        </w:rPr>
        <w:t xml:space="preserve">个工作日内，在评标报告确定的中标候选人名单中按顺序确定中标人。</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七、政府采购合同</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（三十六）签订政府采购合同（合同签订方式）：</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 </w:t>
      </w:r>
      <w:r>
        <w:rPr>
          <w:rFonts w:ascii="SimSun" w:hAnsi="SimSun" w:eastAsia="SimSun" w:cs="SimSun"/>
          <w:color w:val="auto"/>
          <w:sz w:val="24"/>
        </w:rPr>
        <w:t xml:space="preserve">采购人应当自中标通知书发出之日起</w:t>
      </w:r>
      <w:r>
        <w:rPr>
          <w:rFonts w:ascii="Times New Roman" w:hAnsi="Times New Roman" w:eastAsia="Times New Roman" w:cs="Times New Roman"/>
          <w:color w:val="auto"/>
          <w:sz w:val="24"/>
        </w:rPr>
        <w:t xml:space="preserve">30</w:t>
      </w:r>
      <w:r>
        <w:rPr>
          <w:rFonts w:ascii="SimSun" w:hAnsi="SimSun" w:eastAsia="SimSun" w:cs="SimSun"/>
          <w:color w:val="auto"/>
          <w:sz w:val="24"/>
        </w:rPr>
        <w:t xml:space="preserve">日内，按照招标文件和中标人投标文件的规定，与中标人签订书面合同。所签订的合同不得对招标文件确定的事项和中标人投标文件作实质性修改。</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采购人不得向中标人提出任何不合理的要求作为签订合同的条件。</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 </w:t>
      </w:r>
      <w:r>
        <w:rPr>
          <w:rFonts w:ascii="SimSun" w:hAnsi="SimSun" w:eastAsia="SimSun" w:cs="SimSun"/>
          <w:color w:val="auto"/>
          <w:sz w:val="24"/>
        </w:rPr>
        <w:t xml:space="preserve">中标或者成交供应商拒绝与采购人签订合同的，采购人可以按照评审报告推荐的中标或者成交候选人名单排序，确定下一个候选人为中标或者成交供应商，也可以重新开展政府采购活动。</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（三十七）采购人与中标人应当根据合同的约定依法履行合同义务。政府采购合同的履行、违约责任和解决争议的方法等，按《中华人民共和国合同法》相关条款执行。</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（三十八）履约保证金：要求详见《第三章投标资料表》（三十八）的规定。</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（三十九）腐败和欺诈行为：</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 </w:t>
      </w:r>
      <w:r>
        <w:rPr>
          <w:rFonts w:ascii="SimSun" w:hAnsi="SimSun" w:eastAsia="SimSun" w:cs="SimSun"/>
          <w:color w:val="auto"/>
          <w:sz w:val="24"/>
        </w:rPr>
        <w:t xml:space="preserve">采购代理机构、采购人、投标人等参与招投标的各方，均应在招标、采购、合同执行等过程中保持廉洁和最高的道德水准。</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）腐败和欺诈行为的含义：</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①“腐败行为”系指在招标、采购和合同执行等过程中，为了谋求私利，影响相关人员提供、给予、接受或索取有价物品，并导致损害买方、卖方、采购代理机构和他人利益的行为。</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②“欺诈行为”系指为了影响招标、采购和合同执行等过程，隐瞒事实真象，给买方、卖方、采购代理机构及他人造成损害的行为，其中包括投标人之间的串通行为。</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2</w:t>
      </w:r>
      <w:r>
        <w:rPr>
          <w:rFonts w:ascii="SimSun" w:hAnsi="SimSun" w:eastAsia="SimSun" w:cs="SimSun"/>
          <w:color w:val="auto"/>
          <w:sz w:val="24"/>
        </w:rPr>
        <w:t xml:space="preserve">）如果被推荐的中标人有腐败和欺诈行为，将取消其中标资格。</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3</w:t>
      </w:r>
      <w:r>
        <w:rPr>
          <w:rFonts w:ascii="SimSun" w:hAnsi="SimSun" w:eastAsia="SimSun" w:cs="SimSun"/>
          <w:color w:val="auto"/>
          <w:sz w:val="24"/>
        </w:rPr>
        <w:t xml:space="preserve">）如果投标人在任何时候，被法院及政府有关管理部门认定为有腐败和欺诈行为，采购代理机构有权拒绝其投标、取消其中标资格和撤消其已签署的合同。</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八、询问和质疑</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（四十）询问和质疑</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九、电子招标投标交易平台</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（四十一）电子招标投标交易平台（即“苏采云”系统，网址：</w:t>
      </w:r>
      <w:r>
        <w:rPr>
          <w:rFonts w:ascii="Times New Roman" w:hAnsi="Times New Roman" w:eastAsia="Times New Roman" w:cs="Times New Roman"/>
          <w:color w:val="auto"/>
          <w:sz w:val="24"/>
        </w:rPr>
        <w:t xml:space="preserve">http://jszfcg. jsczt. cn/</w:t>
      </w:r>
      <w:r>
        <w:rPr>
          <w:rFonts w:ascii="SimSun" w:hAnsi="SimSun" w:eastAsia="SimSun" w:cs="SimSun"/>
          <w:color w:val="auto"/>
          <w:sz w:val="24"/>
        </w:rPr>
        <w:t xml:space="preserve">）相关要求是本招标文件的组成部分。</w:t>
        <w:br w:type="page" w:clear="all"/>
      </w:r>
      <w:r>
        <w:rPr>
          <w:color w:val="auto"/>
        </w:rPr>
      </w:r>
      <w:r/>
    </w:p>
    <w:p>
      <w:pPr>
        <w:pStyle w:val="658"/>
        <w:ind w:left="0" w:right="0" w:firstLine="0"/>
        <w:jc w:val="center"/>
        <w:spacing w:before="0" w:after="0" w:line="54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rPr>
        <w:t xml:space="preserve">第三章 投标资料表</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该资料表的条款项号是与《投标人须知》的条款项号相对应的，若有增加的条款，是对《投标人须知》的补充、修改和完善，如果因此而造成矛盾时，应以本资料表为准。</w:t>
      </w:r>
      <w:r>
        <w:rPr>
          <w:color w:val="auto"/>
        </w:rPr>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77"/>
        <w:gridCol w:w="77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条款项号</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内    容</w:t>
            </w:r>
            <w:r>
              <w:rPr>
                <w:color w:val="auto"/>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一</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总则</w:t>
            </w:r>
            <w:r>
              <w:rPr>
                <w:color w:val="auto"/>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(一)</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本项目采购人：淮海战役烈士纪念塔管理中心</w:t>
            </w:r>
            <w:r>
              <w:rPr>
                <w:color w:val="auto"/>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本次采购采用的政府采购方式：公开招标。</w:t>
            </w:r>
            <w:r>
              <w:rPr>
                <w:color w:val="auto"/>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(四)</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采购人确定的采购项目属性：服务</w:t>
            </w:r>
            <w:r>
              <w:rPr>
                <w:color w:val="auto"/>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(五)</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本项目采购代理机构：江苏中际招标代理有限公司</w:t>
            </w:r>
            <w:r>
              <w:rPr>
                <w:color w:val="auto"/>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(六)</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投标人的资格条件：</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一、符合《中华人民共和国政府采购法》第二十二条的规定；</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二、本项目属于专门面向中小微企业采购的项目，供应商应为中小微企业、监狱企业、残疾人福利性单位。</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同时明确相关事项如下：</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(一)本项目不接受联合体参与采购活动。</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(二)单位负责人为同一人或者存在直接控股、管理关系的不同供应商，不得参加同一合同项下的政府采购活动。</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三、为本采购项目提供整体设计、规范编制或者项目管理、监理、检测等服务的供应商，不得再参加本采购项目的采购活动。</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四、查询及使用供应商信用记录：</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(一)由采购人查询信用信息。</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(二)查询渠道包括：</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 “信用中国”网（</w:t>
            </w:r>
            <w:hyperlink r:id="rId17" w:tooltip="http://www.creditchina.gov.cn/" w:history="1">
              <w:r>
                <w:rPr>
                  <w:rStyle w:val="818"/>
                  <w:rFonts w:ascii="SimSun" w:hAnsi="SimSun" w:eastAsia="SimSun" w:cs="SimSun"/>
                  <w:color w:val="auto"/>
                  <w:sz w:val="21"/>
                  <w:u w:val="none"/>
                </w:rPr>
                <w:t xml:space="preserve">www.creditchina.gov.cn</w:t>
              </w:r>
            </w:hyperlink>
            <w:r>
              <w:rPr>
                <w:rFonts w:ascii="SimSun" w:hAnsi="SimSun" w:eastAsia="SimSun" w:cs="SimSun"/>
                <w:color w:val="auto"/>
                <w:sz w:val="24"/>
              </w:rPr>
              <w:t xml:space="preserve">）；</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 中国政府采购网（</w:t>
            </w:r>
            <w:hyperlink r:id="rId18" w:tooltip="http://www.ccgp.gov.cn/" w:history="1">
              <w:r>
                <w:rPr>
                  <w:rStyle w:val="818"/>
                  <w:rFonts w:ascii="SimSun" w:hAnsi="SimSun" w:eastAsia="SimSun" w:cs="SimSun"/>
                  <w:color w:val="auto"/>
                  <w:sz w:val="21"/>
                  <w:u w:val="none"/>
                </w:rPr>
                <w:t xml:space="preserve">www.ccgp.gov.cn</w:t>
              </w:r>
            </w:hyperlink>
            <w:r>
              <w:rPr>
                <w:rFonts w:ascii="SimSun" w:hAnsi="SimSun" w:eastAsia="SimSun" w:cs="SimSun"/>
                <w:color w:val="auto"/>
                <w:sz w:val="24"/>
              </w:rPr>
              <w:t xml:space="preserve">）；</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 “信用江苏”网（www.jscredit.gov.cn）；</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 “信用中国（江苏徐州）”网（</w:t>
            </w:r>
            <w:hyperlink r:id="rId19" w:tooltip="http://www.xuzhoucredit.gov.cn/" w:history="1">
              <w:r>
                <w:rPr>
                  <w:rStyle w:val="818"/>
                  <w:rFonts w:ascii="SimSun" w:hAnsi="SimSun" w:eastAsia="SimSun" w:cs="SimSun"/>
                  <w:color w:val="auto"/>
                  <w:sz w:val="21"/>
                  <w:u w:val="none"/>
                </w:rPr>
                <w:t xml:space="preserve">http://www.xuzhoucredit.gov.cn</w:t>
              </w:r>
            </w:hyperlink>
            <w:r>
              <w:rPr>
                <w:rFonts w:ascii="SimSun" w:hAnsi="SimSun" w:eastAsia="SimSun" w:cs="SimSun"/>
                <w:color w:val="auto"/>
                <w:sz w:val="24"/>
              </w:rPr>
              <w:t xml:space="preserve">）；</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(三)截止时点（查询环节）：资格审查结束前。</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(四)信用信息查询记录和证据留存的具体方式：网页截屏打印，与其他采购文件一并保存。</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(五)信用信息的使用规则：</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color w:val="auto"/>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(七)</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招标代理服务费由中标人支付，标准不高于《招标代理服务收费标准》（见附件）。</w:t>
            </w:r>
            <w:r>
              <w:rPr>
                <w:color w:val="auto"/>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二</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招标</w:t>
            </w:r>
            <w:r>
              <w:rPr>
                <w:color w:val="auto"/>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(九)1</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color w:val="auto"/>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(九)2</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0" w:after="0" w:line="400" w:lineRule="atLeast"/>
              <w:tabs>
                <w:tab w:val="left" w:pos="5760"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不安排现场考察。</w:t>
            </w:r>
            <w:r>
              <w:rPr>
                <w:color w:val="auto"/>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(九)3</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不安排开标前答疑会。</w:t>
            </w:r>
            <w:r>
              <w:rPr>
                <w:color w:val="auto"/>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三</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投标</w:t>
            </w:r>
            <w:r>
              <w:rPr>
                <w:color w:val="auto"/>
              </w:rPr>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(十一)</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投标文件的语言为中文</w:t>
            </w:r>
            <w:r>
              <w:rPr>
                <w:color w:val="auto"/>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(十二)1</w:t>
            </w:r>
            <w:r>
              <w:rPr>
                <w:color w:val="auto"/>
              </w:rPr>
            </w:r>
            <w:r/>
          </w:p>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(十二)2</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线上投标文件编制要求：</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请按照以下要求（包括但不限于以下要求）制作：</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一、基本目录</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《开标一览表》（加盖电子签章，政府采购客户端工具输入报价自动生成）。</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二、资格条件（1-6必须提供，否则投标无效）</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1.投标人合法有效的法人或者其他组织的营业执照等证明文件，自然人的身份证明，以上证明文件提供原件的扫描件。</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2.财务状况报告（即提供投标人的本项目开标时间前6个月内任何时间的资产负债表、利润表各一份或提供投标人上年度财务报告或投标人的本项目开标时间前6个月内银行出具的资信证明扫描件）。</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投标人的“首次响应文件提交的截止时间”前6个月内任何1月的依法缴纳税收和社会保障资金的相关材料的扫描件（依法免税或不需要缴纳社会保障资金的供应商,应提供相应文件证明其依法免税或不需要缴纳社会保障资金)；</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4.具备履行合同所必需的设备和专业技术能力的证明材料</w:t>
            </w:r>
            <w:r>
              <w:rPr>
                <w:rFonts w:ascii="SimSun" w:hAnsi="SimSun" w:eastAsia="SimSun" w:cs="SimSun"/>
                <w:b/>
                <w:color w:val="auto"/>
                <w:sz w:val="24"/>
              </w:rPr>
              <w:t xml:space="preserve">（</w:t>
            </w:r>
            <w:r>
              <w:rPr>
                <w:rFonts w:ascii="SimSun" w:hAnsi="SimSun" w:eastAsia="SimSun" w:cs="SimSun"/>
                <w:color w:val="auto"/>
                <w:sz w:val="24"/>
              </w:rPr>
              <w:t xml:space="preserve">即提供投标人具备履行合同所必需的设备和专业技术能力承诺书</w:t>
            </w:r>
            <w:r>
              <w:rPr>
                <w:rFonts w:ascii="SimSun" w:hAnsi="SimSun" w:eastAsia="SimSun" w:cs="SimSun"/>
                <w:b/>
                <w:color w:val="auto"/>
                <w:sz w:val="24"/>
              </w:rPr>
              <w:t xml:space="preserve">）；</w:t>
            </w:r>
            <w:r>
              <w:rPr>
                <w:rFonts w:ascii="SimSun" w:hAnsi="SimSun" w:eastAsia="SimSun" w:cs="SimSun"/>
                <w:color w:val="auto"/>
                <w:sz w:val="24"/>
              </w:rPr>
              <w:t xml:space="preserve">（加盖电子签章，格式见招标文件第七章《投标文件相关格式》）；</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5.投标人参加政府采购活动前3年内在经营活动中没有重大违法记录的书面声明（加盖电子签章，格式见招标文件第七章《投标文件相关格式》）；</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6.投标人为中小企业（含中型、小型、微型企业，下同）的，提供《中小企业声明函》（加盖电子签章，格式见招标文件第七章《投标文件相关格式》）（必须提供，如提供请填写完整）。”《中小企业声明函》查询渠道参考工业和信息化部发布的中小企业规模自测小程序。</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注：具体以《政府采购促进中小企业发展管理办法》（财库[2020]46号）和《关于印发中小企业划型标准规定的通知》（工信部联企业[2011]300号）的规定为准。</w:t>
            </w:r>
            <w:r>
              <w:rPr>
                <w:color w:val="auto"/>
              </w:rPr>
            </w:r>
            <w:r/>
          </w:p>
          <w:p>
            <w:pPr>
              <w:ind w:left="0" w:right="0" w:firstLine="48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监狱企业和残疾人福利性单位等同于小微企业。</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投标人为监狱企业的，提供省级以上监狱管理局、戒毒管理局（含新疆生产建设兵团）出具的属于监狱企业的证明文件原件的扫描件。</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具体以《财政部 司法部关于政府采购支持监狱企业发展有关问题的通知》（财库〔2014〕68号）的规定为准。</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投标人为享受政府采购支持政策的残疾人福利性单位的，提供《残疾人福利性单位声明函》（加盖电子签章，格式见招标文件第七章《投标文件相关格式》）。</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享受政府采购支持政策的残疾人福利性单位应当同时满足以下条件：</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①安置的残疾人占本单位在职职工人数的比例不低于25%（含25%），并且安置的残疾人人数不少于10人（含10人）；</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②依法与安置的每位残疾人签订了一年以上（含一年）的劳动合同或服务协议；</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③为安置的每位残疾人按月足额缴纳了基本养老保险、基本医疗保险、失业保险、工伤保险和生育保险等社会保险费；</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④通过银行等金融机构向安置的每位残疾人，按月支付了不低于单位所在区县适用的经省级人民政府批准的月最低工资标准的工资；</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⑤提供本单位制造的货物、承担的工程或者服务（以下简称产品），或者提供其他残疾人福利性单位制造的货物（不包括使用非残疾人福利性单位注册商标的货物）。</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具体以《三部门联合发布关于促进残疾人就业政府采购政策的通知》（财库〔2017〕141号）规定为准。</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三、符合条件（必须提供，否则投标无效）</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(一)报价</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1.《分项价格表》（加盖电子签章，格式见招标文件第七章《投标文件相关格式》。）</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（二）商务资信</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1.《投标函》（加盖电子签章，格式见招标文件第七章《投标文件相关格式》。）</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（三）技术响应</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1.《偏离表》（加盖电子签章，格式见招标文件第七章《投标文件相关格式》。）</w:t>
            </w:r>
            <w:r>
              <w:rPr>
                <w:color w:val="auto"/>
              </w:rPr>
            </w:r>
            <w:r/>
          </w:p>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（四）其他响应</w:t>
            </w:r>
            <w:r>
              <w:rPr>
                <w:color w:val="auto"/>
              </w:rPr>
            </w:r>
            <w:r/>
          </w:p>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1.《法定代表人授权书》（加盖电子签章，格式见招标文件第七章《投标文件相关格式》。如为法定代表人本人参加投标活动，则提供《法定代表人身份证明书》。）</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四、综合评审评分项</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详见招标文件第四章《评标标准》。</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五、价格折扣文件格式</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1、企业报价折扣证明：无</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注：</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 投标人应对以上文件的合法性、真实性负责。</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 签订合同前，中标人必须向采购人提交其投标文件中所有扫描件的原件，采购人核查无误后，签订合同。如中标人不能在采购人规定的时间内向采购人提供原件，将被采购人视为放弃中标资格。特别要求的除外。</w:t>
            </w:r>
            <w:r>
              <w:rPr>
                <w:color w:val="auto"/>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(十三)2</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商务条件见：</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一、本文件第四章《评标标准》中《评分细则》。</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二、本文件第三章《投标资料表》中(十二)1和(十二)2。</w:t>
            </w:r>
            <w:r>
              <w:rPr>
                <w:color w:val="auto"/>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(十三)3</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交货和提供服务的时间：见本文件第五章 《拟签订的合同文本》及或本文件第六章《采购需求》。</w:t>
            </w:r>
            <w:r>
              <w:rPr>
                <w:color w:val="auto"/>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(十四)3</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本项目采购预算320万元人民币</w:t>
            </w:r>
            <w:r>
              <w:rPr>
                <w:rFonts w:ascii="SimSun" w:hAnsi="SimSun" w:eastAsia="SimSun" w:cs="SimSun"/>
                <w:b/>
                <w:color w:val="auto"/>
                <w:sz w:val="24"/>
              </w:rPr>
              <w:t xml:space="preserve">。</w:t>
            </w:r>
            <w:r>
              <w:rPr>
                <w:rFonts w:ascii="SimSun" w:hAnsi="SimSun" w:eastAsia="SimSun" w:cs="SimSun"/>
                <w:color w:val="auto"/>
                <w:sz w:val="24"/>
              </w:rPr>
              <w:t xml:space="preserve">报价包括服务、税金、运费、安装调试、验收、保险等全部费用。用户不再支付报价以外的任何费用。</w:t>
            </w:r>
            <w:r>
              <w:rPr>
                <w:color w:val="auto"/>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(十六)</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以人民币报价。</w:t>
            </w:r>
            <w:r>
              <w:rPr>
                <w:color w:val="auto"/>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（十七）2（1）</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投标人应当通过“苏采云”系统提交数据电文形式的投标文件（即电子投标）。</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特别说明：通过“苏采云”系统提交政府采购客户端工具导出加密的投标文件（后缀名为zip）。投标文件不得超过150M！</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说明：本项目采用线上投标，即供应商投标文件从政府采购客户端工具制作通过“苏采云”系统提交，未提供线上投标文件的，投标无效。</w:t>
            </w:r>
            <w:r>
              <w:rPr>
                <w:color w:val="auto"/>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(十八)4</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见本文件第三章《投标资料表》中(十二)1和(十二)2</w:t>
            </w:r>
            <w:r>
              <w:rPr>
                <w:color w:val="auto"/>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(十九)</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投标文件的提交与接收： </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 投标文件提交与接收时间：</w:t>
            </w:r>
            <w:r>
              <w:rPr>
                <w:rFonts w:ascii="SimSun" w:hAnsi="SimSun" w:eastAsia="SimSun" w:cs="SimSun"/>
                <w:b/>
                <w:color w:val="auto"/>
                <w:sz w:val="24"/>
              </w:rPr>
              <w:t xml:space="preserve">提交投标文件截止时间（2025年12月25日9:30）前。</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 投标文件提交与接收地点：</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线上提交与接收地点：投标人应当通过“苏采云”系统提交数据电文形式的投标文件（即电子投标），“苏采云”系统自动接收。</w:t>
            </w:r>
            <w:r>
              <w:rPr>
                <w:color w:val="auto"/>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（二十）</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电子投标文件应由其法定代表人或法定代表人授权代表在规定的网上投标时间内，凭 CA 证书登陆“苏采云”系统在线编制投标文件（电子数据），并在投标截止时间之前上传投标文件。</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投标人应在达到开标时间后，使用CA数字证书解密各自投标文件。</w:t>
            </w:r>
            <w:r>
              <w:rPr>
                <w:color w:val="auto"/>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四</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开标</w:t>
            </w:r>
            <w:r>
              <w:rPr>
                <w:color w:val="auto"/>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(二十五)1</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开标时间及地点：</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1. 开标时间：2025年12月25日9:30（标准时间）</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 开标地点：“苏采云”系统（网址：http://jszfcg.jsczt.cn/）“开标大厅”或进入徐州政府采购网（网址：http://czj.xz.gov.cn/Home/HomeIndex）--业务工作--用户登录，点击“苏采云”进入系统“开标大厅”。</w:t>
            </w:r>
            <w:r>
              <w:rPr>
                <w:color w:val="auto"/>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(二十五)3</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所有投标人解密（或解密时间）结束后，“苏采云”系统生成开标记录并向社会公众公布，但依法应当保密的除外。</w:t>
            </w:r>
            <w:r>
              <w:rPr>
                <w:color w:val="auto"/>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五</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评标</w:t>
            </w:r>
            <w:r>
              <w:rPr>
                <w:color w:val="auto"/>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(二十七)</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本项目的评标方法：综合评分法。</w:t>
            </w:r>
            <w:r>
              <w:rPr>
                <w:color w:val="auto"/>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(二十八)1</w:t>
            </w:r>
            <w:r>
              <w:rPr>
                <w:color w:val="auto"/>
              </w:rPr>
            </w:r>
            <w:r/>
          </w:p>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(二十八)1（4）</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一、推荐中标候选供应商名单。中标候选供应商数量应当根据采购需要确定，但必须按顺序排列中标候选供应商。</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二、采用综合评分法的，按评审后得分由高到低顺序排列。得分相同的，按投标报价由低到高顺序排列。得分且投标报价相同的，按项目服务方案得分顺序排列。</w:t>
            </w:r>
            <w:r>
              <w:rPr>
                <w:color w:val="auto"/>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（二十九）</w:t>
            </w:r>
            <w:r>
              <w:rPr>
                <w:color w:val="auto"/>
              </w:rPr>
            </w:r>
            <w:r/>
          </w:p>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 评标中需要投标人对投标文件澄清或者说明的，应当通过“苏采云”系统交换数据电文。在评标期间，请投标人保持在线。</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 对于投标文件中含义不明确、同类问题表述不一致或者有明显文字和计算错误的内容，评标委员会通过“苏采云”系统要求投标人作出必要的澄清、说明或者补正，并规定回复时间。</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 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特别说明：“苏采云”系统通过“江苏省政府采购一体化不见面开标大厅”提醒投标人。投标人自行查看，投标人因自身原因不及时查看导致没收到信息，“苏采云”系统不承担任何责任。</w:t>
            </w:r>
            <w:r>
              <w:rPr>
                <w:color w:val="auto"/>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七</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政府采购合同</w:t>
            </w:r>
            <w:r>
              <w:rPr>
                <w:color w:val="auto"/>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(三十七)1</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采购人与中标、成交供应商应当在中标、成交通知书发出之日起30日内，按照采购文件确定的事项签订政府采购合同。</w:t>
            </w:r>
            <w:r>
              <w:rPr>
                <w:color w:val="auto"/>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（三十八）</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履约保证金：无。</w:t>
            </w:r>
            <w:r>
              <w:rPr>
                <w:color w:val="auto"/>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(四十)</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二、供应商在法定质疑期内一次性提出针对同一采购程序环节的质疑。</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质疑接收人：邵伟;联系电话：0516-83200166;</w:t>
            </w:r>
            <w:r>
              <w:rPr>
                <w:color w:val="auto"/>
              </w:rPr>
            </w:r>
            <w:r/>
          </w:p>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办公地址：徐州市云龙区绿地商务城LOFT领海办公楼5#1905室（汉风路和昆仑大道交叉口东北角）</w:t>
            </w:r>
            <w:r>
              <w:rPr>
                <w:color w:val="auto"/>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top"/>
            <w:textDirection w:val="lrTb"/>
            <w:noWrap w:val="false"/>
          </w:tcPr>
          <w:p>
            <w:pPr>
              <w:ind w:left="0" w:right="0" w:firstLine="0"/>
              <w:jc w:val="center"/>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附加说明</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7" w:type="dxa"/>
            <w:vAlign w:val="top"/>
            <w:textDirection w:val="lrTb"/>
            <w:noWrap w:val="false"/>
          </w:tcPr>
          <w:p>
            <w:pPr>
              <w:ind w:left="0" w:right="0" w:firstLine="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中标人在收到中标通知书时，须向采购代理机构提交《开标一览表》和《分项价格表》的数据文件（WORD格式）。</w:t>
            </w:r>
            <w:r>
              <w:rPr>
                <w:color w:val="auto"/>
              </w:rPr>
            </w:r>
            <w:r/>
          </w:p>
        </w:tc>
      </w:tr>
    </w:tbl>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spacing w:before="0" w:after="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本章附件：</w:t>
      </w:r>
      <w:r>
        <w:rPr>
          <w:rFonts w:ascii="SimSun" w:hAnsi="SimSun" w:eastAsia="SimSun" w:cs="SimSun"/>
          <w:b/>
          <w:color w:val="auto"/>
          <w:sz w:val="30"/>
        </w:rPr>
        <w:t xml:space="preserve">招标代理服务收费标准</w:t>
      </w:r>
      <w:r>
        <w:rPr>
          <w:color w:val="auto"/>
        </w:rPr>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87"/>
        <w:gridCol w:w="2568"/>
      </w:tblGrid>
      <w:tr>
        <w:trPr>
          <w:trHeight w:val="4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87"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中标或者成交金额</w:t>
            </w:r>
            <w:r>
              <w:rPr>
                <w:color w:va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rPr>
              <w:t xml:space="preserve">费率</w:t>
            </w:r>
            <w:r>
              <w:rPr>
                <w:color w:val="auto"/>
              </w:rPr>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7"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最低收费金额（每个委托项目）</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5000元</w:t>
            </w:r>
            <w:r>
              <w:rPr>
                <w:color w:val="auto"/>
              </w:rPr>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7"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50万元以下（含50万元）</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1.6%</w:t>
            </w:r>
            <w:r>
              <w:rPr>
                <w:color w:val="auto"/>
              </w:rPr>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7"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50-400万元（含400万元）</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1.5%</w:t>
            </w:r>
            <w:r>
              <w:rPr>
                <w:color w:val="auto"/>
              </w:rPr>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7"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400-1000万元（含1000万元）</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1.1%</w:t>
            </w:r>
            <w:r>
              <w:rPr>
                <w:color w:val="auto"/>
              </w:rPr>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7"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1000-5000万元（含5000万元）</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0.8%</w:t>
            </w:r>
            <w:r>
              <w:rPr>
                <w:color w:val="auto"/>
              </w:rPr>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7"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5000-1亿元（含1亿元）</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0.25%</w:t>
            </w:r>
            <w:r>
              <w:rPr>
                <w:color w:val="auto"/>
              </w:rPr>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7"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1-10亿元（含10亿元）</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0.05%</w:t>
            </w:r>
            <w:r>
              <w:rPr>
                <w:color w:val="auto"/>
              </w:rPr>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7"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10-50亿元（含50亿元）</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0.01%</w:t>
            </w:r>
            <w:r>
              <w:rPr>
                <w:color w:val="auto"/>
              </w:rPr>
            </w:r>
            <w:r/>
          </w:p>
        </w:tc>
      </w:tr>
      <w:tr>
        <w:trPr>
          <w:trHeight w:val="4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7"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50亿元以上</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0.005%</w:t>
            </w:r>
            <w:r>
              <w:rPr>
                <w:color w:val="auto"/>
              </w:rPr>
            </w:r>
            <w:r/>
          </w:p>
        </w:tc>
      </w:tr>
    </w:tbl>
    <w:p>
      <w:pPr>
        <w:ind w:left="0" w:right="0" w:firstLine="56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说明：</w:t>
      </w:r>
      <w:r>
        <w:rPr>
          <w:color w:val="auto"/>
        </w:rPr>
      </w:r>
      <w:r/>
    </w:p>
    <w:p>
      <w:pPr>
        <w:ind w:left="0" w:right="0" w:firstLine="56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1.按上表计算的收费为代理服务全过程的收费金额。各社会代理机构不再收取采购文件制作售卖费用。</w:t>
      </w:r>
      <w:r>
        <w:rPr>
          <w:color w:val="auto"/>
        </w:rPr>
      </w:r>
      <w:r/>
    </w:p>
    <w:p>
      <w:pPr>
        <w:ind w:left="0" w:right="0" w:firstLine="56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2.代理服务费按差额定率累进法计算。</w:t>
      </w:r>
      <w:r>
        <w:rPr>
          <w:color w:val="auto"/>
        </w:rPr>
      </w:r>
      <w:r/>
    </w:p>
    <w:p>
      <w:pPr>
        <w:ind w:left="0" w:right="0" w:firstLine="56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3.代理服务费基准金额（按差额定率累进法计算的）=中标金额（按差额定率累进法计算的） * 费率（%）。</w:t>
      </w:r>
      <w:r>
        <w:rPr>
          <w:color w:val="auto"/>
        </w:rPr>
      </w:r>
      <w:r/>
    </w:p>
    <w:p>
      <w:pPr>
        <w:ind w:left="0" w:right="0" w:firstLine="56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4.代理服务费应收取金额=代理服务费基准金额（按差额定率累进法计算的）的合计数。</w:t>
      </w:r>
      <w:r>
        <w:rPr>
          <w:color w:val="auto"/>
        </w:rPr>
      </w:r>
      <w:r/>
    </w:p>
    <w:p>
      <w:pPr>
        <w:ind w:left="0" w:right="0" w:firstLine="56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5.定点类等无金额或事先不能计算出价格总额的项目，按中标（成交）金额100万元计算。</w:t>
      </w:r>
      <w:r>
        <w:rPr>
          <w:color w:val="auto"/>
        </w:rPr>
      </w:r>
      <w:r/>
    </w:p>
    <w:p>
      <w:pPr>
        <w:ind w:left="0" w:right="0" w:firstLine="56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6.有分包（分标段）的按一个项目计算。</w:t>
      </w:r>
      <w:r>
        <w:rPr>
          <w:color w:val="auto"/>
        </w:rPr>
      </w:r>
      <w:r/>
    </w:p>
    <w:p>
      <w:pPr>
        <w:ind w:left="0" w:right="0" w:firstLine="56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7.以上价格为协会指导价，双方可根据项目难易程度和优质优价原则协商确定。</w:t>
      </w:r>
      <w:r>
        <w:rPr>
          <w:color w:val="auto"/>
        </w:rPr>
      </w:r>
      <w:r/>
    </w:p>
    <w:p>
      <w:pPr>
        <w:ind w:left="0" w:right="0" w:firstLine="56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8.账户信息：</w:t>
      </w:r>
      <w:r>
        <w:rPr>
          <w:color w:val="auto"/>
        </w:rPr>
      </w:r>
      <w:r/>
    </w:p>
    <w:p>
      <w:pPr>
        <w:ind w:left="0" w:right="0" w:firstLine="56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收款人：江苏中际招标代理有限公司</w:t>
      </w:r>
      <w:r>
        <w:rPr>
          <w:color w:val="auto"/>
        </w:rPr>
      </w:r>
      <w:r/>
    </w:p>
    <w:p>
      <w:pPr>
        <w:ind w:left="0" w:right="0" w:firstLine="56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开户银行：徐州农村商业银行股份有限公司彭园支行</w:t>
      </w:r>
      <w:r>
        <w:rPr>
          <w:color w:val="auto"/>
        </w:rPr>
      </w:r>
      <w:r/>
    </w:p>
    <w:p>
      <w:pPr>
        <w:ind w:left="0" w:right="0" w:firstLine="56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账号：3203020171010000003980</w:t>
      </w:r>
      <w:r>
        <w:rPr>
          <w:color w:val="auto"/>
        </w:rPr>
      </w:r>
      <w:r/>
    </w:p>
    <w:p>
      <w:pPr>
        <w:ind w:left="0" w:right="0" w:firstLine="630"/>
        <w:spacing w:before="240" w:after="24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行号：314303000180</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pStyle w:val="658"/>
        <w:ind w:left="0" w:right="0" w:firstLine="0"/>
        <w:jc w:val="center"/>
        <w:spacing w:before="0" w:after="0" w:line="54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rPr>
        <w:t xml:space="preserve">第四章 评标标准</w:t>
      </w:r>
      <w:r>
        <w:rPr>
          <w:color w:val="auto"/>
        </w:rPr>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21"/>
        <w:gridCol w:w="1524"/>
        <w:gridCol w:w="6510"/>
      </w:tblGrid>
      <w:tr>
        <w:trPr>
          <w:trHeight w:val="410"/>
        </w:trPr>
        <w:tc>
          <w:tcPr>
            <w:tcBorders>
              <w:top w:val="single" w:color="000000" w:sz="4" w:space="0"/>
              <w:left w:val="single" w:color="000000" w:sz="4" w:space="0"/>
              <w:bottom w:val="single" w:color="000000" w:sz="4" w:space="0"/>
              <w:right w:val="single" w:color="000000" w:sz="4" w:space="0"/>
            </w:tcBorders>
            <w:tcMar>
              <w:left w:w="113" w:type="dxa"/>
              <w:top w:w="0" w:type="dxa"/>
              <w:right w:w="113" w:type="dxa"/>
              <w:bottom w:w="0" w:type="dxa"/>
            </w:tcMar>
            <w:tcW w:w="1321"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评分项</w:t>
            </w:r>
            <w:r>
              <w:rPr>
                <w:color w:val="auto"/>
              </w:rPr>
            </w:r>
            <w:r/>
          </w:p>
        </w:tc>
        <w:tc>
          <w:tcPr>
            <w:tcBorders>
              <w:top w:val="single" w:color="000000" w:sz="4" w:space="0"/>
              <w:left w:val="single" w:color="000000" w:sz="4" w:space="0"/>
              <w:bottom w:val="single" w:color="000000" w:sz="4" w:space="0"/>
              <w:right w:val="single" w:color="000000" w:sz="4" w:space="0"/>
            </w:tcBorders>
            <w:tcMar>
              <w:left w:w="113" w:type="dxa"/>
              <w:top w:w="0" w:type="dxa"/>
              <w:right w:w="113" w:type="dxa"/>
              <w:bottom w:w="0" w:type="dxa"/>
            </w:tcMar>
            <w:tcW w:w="1524"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评审内容</w:t>
            </w:r>
            <w:r>
              <w:rPr>
                <w:color w:val="auto"/>
              </w:rPr>
            </w:r>
            <w:r/>
          </w:p>
        </w:tc>
        <w:tc>
          <w:tcPr>
            <w:tcBorders>
              <w:top w:val="single" w:color="000000" w:sz="4" w:space="0"/>
              <w:left w:val="single" w:color="000000" w:sz="4" w:space="0"/>
              <w:bottom w:val="single" w:color="000000" w:sz="4" w:space="0"/>
              <w:right w:val="single" w:color="000000" w:sz="4" w:space="0"/>
            </w:tcBorders>
            <w:tcMar>
              <w:left w:w="113" w:type="dxa"/>
              <w:top w:w="0" w:type="dxa"/>
              <w:right w:w="113" w:type="dxa"/>
              <w:bottom w:w="0" w:type="dxa"/>
            </w:tcMar>
            <w:tcW w:w="6510"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评审因素</w:t>
            </w:r>
            <w:r>
              <w:rPr>
                <w:color w:val="auto"/>
              </w:rPr>
            </w:r>
            <w:r/>
          </w:p>
        </w:tc>
      </w:tr>
      <w:tr>
        <w:trPr>
          <w:trHeight w:val="815"/>
        </w:trPr>
        <w:tc>
          <w:tcPr>
            <w:gridSpan w:val="2"/>
            <w:tcBorders>
              <w:top w:val="single" w:color="000000" w:sz="4" w:space="0"/>
              <w:left w:val="single" w:color="000000" w:sz="4" w:space="0"/>
              <w:bottom w:val="single" w:color="000000" w:sz="4" w:space="0"/>
              <w:right w:val="single" w:color="000000" w:sz="4" w:space="0"/>
            </w:tcBorders>
            <w:tcMar>
              <w:left w:w="113" w:type="dxa"/>
              <w:top w:w="0" w:type="dxa"/>
              <w:right w:w="113" w:type="dxa"/>
              <w:bottom w:w="0" w:type="dxa"/>
            </w:tcMar>
            <w:tcW w:w="2844"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评标价格（</w:t>
            </w:r>
            <w:r>
              <w:rPr>
                <w:rFonts w:ascii="Times New Roman" w:hAnsi="Times New Roman" w:eastAsia="Times New Roman" w:cs="Times New Roman"/>
                <w:color w:val="auto"/>
                <w:sz w:val="24"/>
              </w:rPr>
              <w:t xml:space="preserve">20</w:t>
            </w:r>
            <w:r>
              <w:rPr>
                <w:rFonts w:ascii="SimSun" w:hAnsi="SimSun" w:eastAsia="SimSun" w:cs="SimSun"/>
                <w:color w:val="auto"/>
                <w:sz w:val="24"/>
              </w:rPr>
              <w:t xml:space="preserve">分）</w:t>
            </w:r>
            <w:r>
              <w:rPr>
                <w:color w:val="auto"/>
              </w:rPr>
            </w:r>
            <w:r/>
          </w:p>
        </w:tc>
        <w:tc>
          <w:tcPr>
            <w:tcBorders>
              <w:top w:val="single" w:color="000000" w:sz="4" w:space="0"/>
              <w:left w:val="single" w:color="000000" w:sz="4" w:space="0"/>
              <w:bottom w:val="single" w:color="000000" w:sz="4" w:space="0"/>
              <w:right w:val="single" w:color="000000" w:sz="4" w:space="0"/>
            </w:tcBorders>
            <w:tcMar>
              <w:left w:w="113" w:type="dxa"/>
              <w:top w:w="0" w:type="dxa"/>
              <w:right w:w="113" w:type="dxa"/>
              <w:bottom w:w="0" w:type="dxa"/>
            </w:tcMar>
            <w:tcW w:w="6510" w:type="dxa"/>
            <w:vAlign w:val="center"/>
            <w:textDirection w:val="lrTb"/>
            <w:noWrap w:val="false"/>
          </w:tcPr>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各投标人价格得分=最低报价（投标人的最低评审价格）÷各投标人评审价格×20</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tc>
      </w:tr>
      <w:tr>
        <w:trPr>
          <w:trHeight w:val="1416"/>
        </w:trPr>
        <w:tc>
          <w:tcPr>
            <w:tcBorders>
              <w:top w:val="single" w:color="000000" w:sz="4" w:space="0"/>
              <w:left w:val="single" w:color="000000" w:sz="4" w:space="0"/>
              <w:bottom w:val="single" w:color="000000" w:sz="4" w:space="0"/>
              <w:right w:val="single" w:color="000000" w:sz="4" w:space="0"/>
            </w:tcBorders>
            <w:tcMar>
              <w:left w:w="113" w:type="dxa"/>
              <w:top w:w="0" w:type="dxa"/>
              <w:right w:w="113" w:type="dxa"/>
              <w:bottom w:w="0" w:type="dxa"/>
            </w:tcMar>
            <w:tcW w:w="1321" w:type="dxa"/>
            <w:vAlign w:val="center"/>
            <w:vMerge w:val="restart"/>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商务部分 </w:t>
            </w:r>
            <w:r>
              <w:rPr>
                <w:rFonts w:ascii="Times New Roman" w:hAnsi="Times New Roman" w:eastAsia="Times New Roman" w:cs="Times New Roman"/>
                <w:color w:val="auto"/>
                <w:sz w:val="24"/>
              </w:rPr>
              <w:t xml:space="preserve">     </w:t>
            </w: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9</w:t>
            </w:r>
            <w:r>
              <w:rPr>
                <w:rFonts w:ascii="SimSun" w:hAnsi="SimSun" w:eastAsia="SimSun" w:cs="SimSun"/>
                <w:color w:val="auto"/>
                <w:sz w:val="24"/>
              </w:rPr>
              <w:t xml:space="preserve">分）</w:t>
            </w:r>
            <w:r>
              <w:rPr>
                <w:color w:val="auto"/>
              </w:rPr>
            </w:r>
            <w:r/>
          </w:p>
        </w:tc>
        <w:tc>
          <w:tcPr>
            <w:tcBorders>
              <w:top w:val="single" w:color="000000" w:sz="4" w:space="0"/>
              <w:left w:val="single" w:color="000000" w:sz="4" w:space="0"/>
              <w:bottom w:val="single" w:color="000000" w:sz="4" w:space="0"/>
              <w:right w:val="single" w:color="000000" w:sz="4" w:space="0"/>
            </w:tcBorders>
            <w:tcMar>
              <w:left w:w="113" w:type="dxa"/>
              <w:top w:w="0" w:type="dxa"/>
              <w:right w:w="113" w:type="dxa"/>
              <w:bottom w:w="0" w:type="dxa"/>
            </w:tcMar>
            <w:tcW w:w="1524"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投标人业绩</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4</w:t>
            </w:r>
            <w:r>
              <w:rPr>
                <w:rFonts w:ascii="SimSun" w:hAnsi="SimSun" w:eastAsia="SimSun" w:cs="SimSun"/>
                <w:color w:val="auto"/>
                <w:sz w:val="24"/>
              </w:rPr>
              <w:t xml:space="preserve">分）</w:t>
            </w:r>
            <w:r>
              <w:rPr>
                <w:color w:val="auto"/>
              </w:rPr>
            </w:r>
            <w:r/>
          </w:p>
        </w:tc>
        <w:tc>
          <w:tcPr>
            <w:tcBorders>
              <w:top w:val="single" w:color="000000" w:sz="4" w:space="0"/>
              <w:left w:val="single" w:color="000000" w:sz="4" w:space="0"/>
              <w:bottom w:val="single" w:color="000000" w:sz="4" w:space="0"/>
              <w:right w:val="single" w:color="000000" w:sz="4" w:space="0"/>
            </w:tcBorders>
            <w:tcMar>
              <w:left w:w="113" w:type="dxa"/>
              <w:top w:w="0" w:type="dxa"/>
              <w:right w:w="113" w:type="dxa"/>
              <w:bottom w:w="0" w:type="dxa"/>
            </w:tcMar>
            <w:tcW w:w="6510" w:type="dxa"/>
            <w:vAlign w:val="center"/>
            <w:textDirection w:val="lrTb"/>
            <w:noWrap w:val="false"/>
          </w:tcPr>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投标人近三年（</w:t>
            </w:r>
            <w:r>
              <w:rPr>
                <w:rFonts w:ascii="Times New Roman" w:hAnsi="Times New Roman" w:eastAsia="Times New Roman" w:cs="Times New Roman"/>
                <w:color w:val="auto"/>
                <w:sz w:val="24"/>
              </w:rPr>
              <w:t xml:space="preserve">2022</w:t>
            </w:r>
            <w:r>
              <w:rPr>
                <w:rFonts w:ascii="SimSun" w:hAnsi="SimSun" w:eastAsia="SimSun" w:cs="SimSun"/>
                <w:color w:val="auto"/>
                <w:sz w:val="24"/>
              </w:rPr>
              <w:t xml:space="preserve">年</w:t>
            </w:r>
            <w:r>
              <w:rPr>
                <w:rFonts w:ascii="Times New Roman" w:hAnsi="Times New Roman" w:eastAsia="Times New Roman" w:cs="Times New Roman"/>
                <w:color w:val="auto"/>
                <w:sz w:val="24"/>
              </w:rPr>
              <w:t xml:space="preserve">11</w:t>
            </w:r>
            <w:r>
              <w:rPr>
                <w:rFonts w:ascii="SimSun" w:hAnsi="SimSun" w:eastAsia="SimSun" w:cs="SimSun"/>
                <w:color w:val="auto"/>
                <w:sz w:val="24"/>
              </w:rPr>
              <w:t xml:space="preserve">月至今）制作的三维动画影片，每部得</w:t>
            </w:r>
            <w:r>
              <w:rPr>
                <w:rFonts w:ascii="Times New Roman" w:hAnsi="Times New Roman" w:eastAsia="Times New Roman" w:cs="Times New Roman"/>
                <w:color w:val="auto"/>
                <w:sz w:val="24"/>
              </w:rPr>
              <w:t xml:space="preserve">2</w:t>
            </w:r>
            <w:r>
              <w:rPr>
                <w:rFonts w:ascii="SimSun" w:hAnsi="SimSun" w:eastAsia="SimSun" w:cs="SimSun"/>
                <w:color w:val="auto"/>
                <w:sz w:val="24"/>
              </w:rPr>
              <w:t xml:space="preserve">分，提供</w:t>
            </w:r>
            <w:r>
              <w:rPr>
                <w:rFonts w:ascii="Times New Roman" w:hAnsi="Times New Roman" w:eastAsia="Times New Roman" w:cs="Times New Roman"/>
                <w:color w:val="auto"/>
                <w:sz w:val="24"/>
              </w:rPr>
              <w:t xml:space="preserve">2</w:t>
            </w:r>
            <w:r>
              <w:rPr>
                <w:rFonts w:ascii="SimSun" w:hAnsi="SimSun" w:eastAsia="SimSun" w:cs="SimSun"/>
                <w:color w:val="auto"/>
                <w:sz w:val="24"/>
              </w:rPr>
              <w:t xml:space="preserve">部相关业绩</w:t>
            </w:r>
            <w:r>
              <w:rPr>
                <w:rFonts w:ascii="SimSun" w:hAnsi="SimSun" w:eastAsia="SimSun" w:cs="SimSun"/>
                <w:b/>
                <w:color w:val="auto"/>
                <w:sz w:val="24"/>
              </w:rPr>
              <w:t xml:space="preserve">（满分</w:t>
            </w:r>
            <w:r>
              <w:rPr>
                <w:rFonts w:ascii="Times New Roman" w:hAnsi="Times New Roman" w:eastAsia="Times New Roman" w:cs="Times New Roman"/>
                <w:b/>
                <w:color w:val="auto"/>
                <w:sz w:val="24"/>
              </w:rPr>
              <w:t xml:space="preserve">4</w:t>
            </w:r>
            <w:r>
              <w:rPr>
                <w:rFonts w:ascii="SimSun" w:hAnsi="SimSun" w:eastAsia="SimSun" w:cs="SimSun"/>
                <w:b/>
                <w:color w:val="auto"/>
                <w:sz w:val="24"/>
              </w:rPr>
              <w:t xml:space="preserve">分）</w:t>
            </w:r>
            <w:r>
              <w:rPr>
                <w:rFonts w:ascii="SimSun" w:hAnsi="SimSun" w:eastAsia="SimSun" w:cs="SimSun"/>
                <w:color w:val="auto"/>
                <w:sz w:val="24"/>
              </w:rPr>
              <w:t xml:space="preserve">。</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注：投标人须提供合同关键页（至少包含合同双方、签订时间、项目名称、工作内容及金额）的原件扫描件，以合同签订时间为准。</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tc>
      </w:tr>
      <w:tr>
        <w:trPr>
          <w:trHeight w:val="11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13" w:type="dxa"/>
              <w:top w:w="0" w:type="dxa"/>
              <w:right w:w="113" w:type="dxa"/>
              <w:bottom w:w="0" w:type="dxa"/>
            </w:tcMar>
            <w:tcW w:w="1524"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对招标文件商务条款的响应程度</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5</w:t>
            </w:r>
            <w:r>
              <w:rPr>
                <w:rFonts w:ascii="SimSun" w:hAnsi="SimSun" w:eastAsia="SimSun" w:cs="SimSun"/>
                <w:color w:val="auto"/>
                <w:sz w:val="24"/>
              </w:rPr>
              <w:t xml:space="preserve">分）</w:t>
            </w:r>
            <w:r>
              <w:rPr>
                <w:color w:val="auto"/>
              </w:rPr>
            </w:r>
            <w:r/>
          </w:p>
        </w:tc>
        <w:tc>
          <w:tcPr>
            <w:tcBorders>
              <w:top w:val="none" w:color="000000" w:sz="4" w:space="0"/>
              <w:left w:val="single" w:color="000000" w:sz="8" w:space="0"/>
              <w:bottom w:val="single" w:color="000000" w:sz="8" w:space="0"/>
              <w:right w:val="single" w:color="000000" w:sz="8" w:space="0"/>
            </w:tcBorders>
            <w:tcMar>
              <w:left w:w="113" w:type="dxa"/>
              <w:top w:w="0" w:type="dxa"/>
              <w:right w:w="113" w:type="dxa"/>
              <w:bottom w:w="0" w:type="dxa"/>
            </w:tcMar>
            <w:tcW w:w="6510" w:type="dxa"/>
            <w:vAlign w:val="center"/>
            <w:textDirection w:val="lrTb"/>
            <w:noWrap w:val="false"/>
          </w:tcPr>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根据投标人对招标文件商务条款的响应程度进行评审，全部满足招标文件商务条款（包含服务期、交付时间、服务地点、付款条件、质保要求）得</w:t>
            </w:r>
            <w:r>
              <w:rPr>
                <w:rFonts w:ascii="Times New Roman" w:hAnsi="Times New Roman" w:eastAsia="Times New Roman" w:cs="Times New Roman"/>
                <w:color w:val="auto"/>
                <w:sz w:val="24"/>
              </w:rPr>
              <w:t xml:space="preserve">5</w:t>
            </w:r>
            <w:r>
              <w:rPr>
                <w:rFonts w:ascii="SimSun" w:hAnsi="SimSun" w:eastAsia="SimSun" w:cs="SimSun"/>
                <w:color w:val="auto"/>
                <w:sz w:val="24"/>
              </w:rPr>
              <w:t xml:space="preserve">分，否则不得分。</w:t>
            </w:r>
            <w:r>
              <w:rPr>
                <w:color w:val="auto"/>
              </w:rPr>
            </w:r>
            <w:r/>
          </w:p>
        </w:tc>
      </w:tr>
      <w:tr>
        <w:trPr>
          <w:trHeight w:val="4562"/>
        </w:trPr>
        <w:tc>
          <w:tcPr>
            <w:tcBorders>
              <w:top w:val="single" w:color="000000" w:sz="4" w:space="0"/>
              <w:left w:val="single" w:color="000000" w:sz="4" w:space="0"/>
              <w:bottom w:val="single" w:color="000000" w:sz="4" w:space="0"/>
              <w:right w:val="single" w:color="000000" w:sz="4" w:space="0"/>
            </w:tcBorders>
            <w:tcMar>
              <w:left w:w="113" w:type="dxa"/>
              <w:top w:w="0" w:type="dxa"/>
              <w:right w:w="113" w:type="dxa"/>
              <w:bottom w:w="0" w:type="dxa"/>
            </w:tcMar>
            <w:tcW w:w="1321" w:type="dxa"/>
            <w:vAlign w:val="center"/>
            <w:vMerge w:val="restart"/>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技术部分</w:t>
            </w:r>
            <w:r>
              <w:rPr>
                <w:rFonts w:ascii="Arial" w:hAnsi="Arial" w:eastAsia="Arial" w:cs="Arial"/>
                <w:color w:val="auto"/>
                <w:sz w:val="24"/>
              </w:rPr>
              <w:t xml:space="preserve">（</w:t>
            </w:r>
            <w:r>
              <w:rPr>
                <w:rFonts w:ascii="Calibri" w:hAnsi="Calibri" w:eastAsia="Calibri" w:cs="Calibri"/>
                <w:color w:val="auto"/>
                <w:sz w:val="24"/>
              </w:rPr>
              <w:t xml:space="preserve">71</w:t>
            </w:r>
            <w:r>
              <w:rPr>
                <w:rFonts w:ascii="Arial" w:hAnsi="Arial" w:eastAsia="Arial" w:cs="Arial"/>
                <w:color w:val="auto"/>
                <w:sz w:val="24"/>
              </w:rPr>
              <w:t xml:space="preserve">分）</w:t>
            </w:r>
            <w:r>
              <w:rPr>
                <w:color w:val="auto"/>
              </w:rPr>
            </w:r>
            <w:r/>
          </w:p>
        </w:tc>
        <w:tc>
          <w:tcPr>
            <w:tcBorders>
              <w:top w:val="single" w:color="000000" w:sz="4" w:space="0"/>
              <w:left w:val="single" w:color="000000" w:sz="4" w:space="0"/>
              <w:bottom w:val="single" w:color="000000" w:sz="4" w:space="0"/>
              <w:right w:val="single" w:color="000000" w:sz="4" w:space="0"/>
            </w:tcBorders>
            <w:tcMar>
              <w:left w:w="113" w:type="dxa"/>
              <w:top w:w="0" w:type="dxa"/>
              <w:right w:w="113" w:type="dxa"/>
              <w:bottom w:w="0" w:type="dxa"/>
            </w:tcMar>
            <w:tcW w:w="1524"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剧本创作及分镜头脚本设计</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8</w:t>
            </w:r>
            <w:r>
              <w:rPr>
                <w:rFonts w:ascii="SimSun" w:hAnsi="SimSun" w:eastAsia="SimSun" w:cs="SimSun"/>
                <w:color w:val="auto"/>
                <w:sz w:val="24"/>
              </w:rPr>
              <w:t xml:space="preserve">分）</w:t>
            </w:r>
            <w:r>
              <w:rPr>
                <w:color w:val="auto"/>
              </w:rPr>
            </w:r>
            <w:r/>
          </w:p>
        </w:tc>
        <w:tc>
          <w:tcPr>
            <w:tcBorders>
              <w:top w:val="single" w:color="000000" w:sz="4" w:space="0"/>
              <w:left w:val="single" w:color="000000" w:sz="4" w:space="0"/>
              <w:bottom w:val="single" w:color="000000" w:sz="4" w:space="0"/>
              <w:right w:val="single" w:color="000000" w:sz="4" w:space="0"/>
            </w:tcBorders>
            <w:tcMar>
              <w:left w:w="113" w:type="dxa"/>
              <w:top w:w="0" w:type="dxa"/>
              <w:right w:w="113" w:type="dxa"/>
              <w:bottom w:w="0" w:type="dxa"/>
            </w:tcMar>
            <w:tcW w:w="6510" w:type="dxa"/>
            <w:vAlign w:val="center"/>
            <w:textDirection w:val="lrTb"/>
            <w:noWrap w:val="false"/>
          </w:tcPr>
          <w:p>
            <w:pPr>
              <w:ind w:left="0" w:right="12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根据提供的样片素材，自行编写影片剧本、分镜头脚本，根据文本编撰及画面表达情况进行评审，满分</w:t>
            </w:r>
            <w:r>
              <w:rPr>
                <w:rFonts w:ascii="Times New Roman" w:hAnsi="Times New Roman" w:eastAsia="Times New Roman" w:cs="Times New Roman"/>
                <w:b/>
                <w:color w:val="auto"/>
                <w:sz w:val="24"/>
              </w:rPr>
              <w:t xml:space="preserve">8</w:t>
            </w:r>
            <w:r>
              <w:rPr>
                <w:rFonts w:ascii="SimSun" w:hAnsi="SimSun" w:eastAsia="SimSun" w:cs="SimSun"/>
                <w:b/>
                <w:color w:val="auto"/>
                <w:sz w:val="24"/>
              </w:rPr>
              <w:t xml:space="preserve">分</w:t>
            </w:r>
            <w:r>
              <w:rPr>
                <w:color w:val="auto"/>
              </w:rPr>
            </w:r>
            <w:r/>
          </w:p>
          <w:p>
            <w:pPr>
              <w:ind w:left="0" w:right="12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auto"/>
                <w:sz w:val="24"/>
              </w:rPr>
              <w:t xml:space="preserve">1. </w:t>
            </w:r>
            <w:r>
              <w:rPr>
                <w:rFonts w:ascii="SimSun" w:hAnsi="SimSun" w:eastAsia="SimSun" w:cs="SimSun"/>
                <w:b/>
                <w:color w:val="auto"/>
                <w:sz w:val="24"/>
              </w:rPr>
              <w:t xml:space="preserve">剧本创作（满分</w:t>
            </w:r>
            <w:r>
              <w:rPr>
                <w:rFonts w:ascii="Times New Roman" w:hAnsi="Times New Roman" w:eastAsia="Times New Roman" w:cs="Times New Roman"/>
                <w:b/>
                <w:color w:val="auto"/>
                <w:sz w:val="24"/>
              </w:rPr>
              <w:t xml:space="preserve">4</w:t>
            </w:r>
            <w:r>
              <w:rPr>
                <w:rFonts w:ascii="SimSun" w:hAnsi="SimSun" w:eastAsia="SimSun" w:cs="SimSun"/>
                <w:b/>
                <w:color w:val="auto"/>
                <w:sz w:val="24"/>
              </w:rPr>
              <w:t xml:space="preserve">分）</w:t>
            </w:r>
            <w:r>
              <w:rPr>
                <w:color w:val="auto"/>
              </w:rPr>
            </w:r>
            <w:r/>
          </w:p>
          <w:p>
            <w:pPr>
              <w:ind w:left="0" w:right="12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评审内容：</w:t>
            </w:r>
            <w:r>
              <w:rPr>
                <w:color w:val="auto"/>
              </w:rPr>
            </w:r>
            <w:r/>
          </w:p>
          <w:p>
            <w:pPr>
              <w:ind w:left="0" w:right="12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投标人需根据采购需求自行编写影片剧本，剧本应兼顾史实真实性与艺术感染力，立意积极正向，戏剧冲突明确，情节推进合理，人物塑造立体，结构清晰，段落衔接自然，符合三维动画叙事特点。</w:t>
            </w:r>
            <w:r>
              <w:rPr>
                <w:color w:val="auto"/>
              </w:rPr>
            </w:r>
            <w:r/>
          </w:p>
          <w:p>
            <w:pPr>
              <w:ind w:left="0" w:right="12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评分细则：</w:t>
            </w:r>
            <w:r>
              <w:rPr>
                <w:color w:val="auto"/>
              </w:rPr>
            </w:r>
            <w:r/>
          </w:p>
          <w:p>
            <w:pPr>
              <w:ind w:left="0" w:right="12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A</w:t>
            </w:r>
            <w:r>
              <w:rPr>
                <w:rFonts w:ascii="SimSun" w:hAnsi="SimSun" w:eastAsia="SimSun" w:cs="SimSun"/>
                <w:color w:val="auto"/>
                <w:sz w:val="24"/>
              </w:rPr>
              <w:t xml:space="preserve">类（</w:t>
            </w:r>
            <w:r>
              <w:rPr>
                <w:rFonts w:ascii="Times New Roman" w:hAnsi="Times New Roman" w:eastAsia="Times New Roman" w:cs="Times New Roman"/>
                <w:color w:val="auto"/>
                <w:sz w:val="24"/>
              </w:rPr>
              <w:t xml:space="preserve">4</w:t>
            </w:r>
            <w:r>
              <w:rPr>
                <w:rFonts w:ascii="SimSun" w:hAnsi="SimSun" w:eastAsia="SimSun" w:cs="SimSun"/>
                <w:color w:val="auto"/>
                <w:sz w:val="24"/>
              </w:rPr>
              <w:t xml:space="preserve">分）：</w:t>
            </w:r>
            <w:r>
              <w:rPr>
                <w:color w:val="auto"/>
              </w:rPr>
            </w:r>
            <w:r/>
          </w:p>
          <w:p>
            <w:pPr>
              <w:ind w:left="0" w:right="12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剧本科学性与故事性高度融合，创意新颖，立意深远积极，内容完整且情感饱满，角色性格鲜明，戏剧冲突强烈且自然推动情节发展，结构清晰合理，具备较强的视觉化叙事潜力。</w:t>
            </w:r>
            <w:r>
              <w:rPr>
                <w:color w:val="auto"/>
              </w:rPr>
            </w:r>
            <w:r/>
          </w:p>
          <w:p>
            <w:pPr>
              <w:ind w:left="0" w:right="12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B</w:t>
            </w:r>
            <w:r>
              <w:rPr>
                <w:rFonts w:ascii="SimSun" w:hAnsi="SimSun" w:eastAsia="SimSun" w:cs="SimSun"/>
                <w:color w:val="auto"/>
                <w:sz w:val="24"/>
              </w:rPr>
              <w:t xml:space="preserve">类（</w:t>
            </w:r>
            <w:r>
              <w:rPr>
                <w:rFonts w:ascii="Times New Roman" w:hAnsi="Times New Roman" w:eastAsia="Times New Roman" w:cs="Times New Roman"/>
                <w:color w:val="auto"/>
                <w:sz w:val="24"/>
              </w:rPr>
              <w:t xml:space="preserve">2</w:t>
            </w:r>
            <w:r>
              <w:rPr>
                <w:rFonts w:ascii="SimSun" w:hAnsi="SimSun" w:eastAsia="SimSun" w:cs="SimSun"/>
                <w:color w:val="auto"/>
                <w:sz w:val="24"/>
              </w:rPr>
              <w:t xml:space="preserve">分）：</w:t>
            </w:r>
            <w:r>
              <w:rPr>
                <w:color w:val="auto"/>
              </w:rPr>
            </w:r>
            <w:r/>
          </w:p>
          <w:p>
            <w:pPr>
              <w:ind w:left="0" w:right="12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剧本科学性与故事性结合较为合理，有一定创新，立意正向，内容基本完整，角色性格较为饱满，结构段落清晰，剧情起伏对故事发展有推动作用，但整体表现力一般。</w:t>
            </w:r>
            <w:r>
              <w:rPr>
                <w:color w:val="auto"/>
              </w:rPr>
            </w:r>
            <w:r/>
          </w:p>
          <w:p>
            <w:pPr>
              <w:ind w:left="0" w:right="12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C</w:t>
            </w:r>
            <w:r>
              <w:rPr>
                <w:rFonts w:ascii="SimSun" w:hAnsi="SimSun" w:eastAsia="SimSun" w:cs="SimSun"/>
                <w:color w:val="auto"/>
                <w:sz w:val="24"/>
              </w:rPr>
              <w:t xml:space="preserve">类（</w:t>
            </w: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分）：</w:t>
            </w:r>
            <w:r>
              <w:rPr>
                <w:color w:val="auto"/>
              </w:rPr>
            </w:r>
            <w:r/>
          </w:p>
          <w:p>
            <w:pPr>
              <w:ind w:left="0" w:right="12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剧本创意与史实结合较弱，戏剧冲突不够突出，内容整合缺乏创新，结构不够严谨，角色塑造单薄，叙事节奏欠佳。</w:t>
            </w:r>
            <w:r>
              <w:rPr>
                <w:color w:val="auto"/>
              </w:rPr>
            </w:r>
            <w:r/>
          </w:p>
          <w:p>
            <w:pPr>
              <w:ind w:left="0" w:right="12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D</w:t>
            </w:r>
            <w:r>
              <w:rPr>
                <w:rFonts w:ascii="SimSun" w:hAnsi="SimSun" w:eastAsia="SimSun" w:cs="SimSun"/>
                <w:color w:val="auto"/>
                <w:sz w:val="24"/>
              </w:rPr>
              <w:t xml:space="preserve">类（</w:t>
            </w:r>
            <w:r>
              <w:rPr>
                <w:rFonts w:ascii="Times New Roman" w:hAnsi="Times New Roman" w:eastAsia="Times New Roman" w:cs="Times New Roman"/>
                <w:color w:val="auto"/>
                <w:sz w:val="24"/>
              </w:rPr>
              <w:t xml:space="preserve">0</w:t>
            </w:r>
            <w:r>
              <w:rPr>
                <w:rFonts w:ascii="SimSun" w:hAnsi="SimSun" w:eastAsia="SimSun" w:cs="SimSun"/>
                <w:color w:val="auto"/>
                <w:sz w:val="24"/>
              </w:rPr>
              <w:t xml:space="preserve">分）：</w:t>
            </w:r>
            <w:r>
              <w:rPr>
                <w:color w:val="auto"/>
              </w:rPr>
            </w:r>
            <w:r/>
          </w:p>
          <w:p>
            <w:pPr>
              <w:ind w:left="0" w:right="12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未提供剧本，或剧本严重偏离主题、存在明显抄袭或不符合基本叙事要求。</w:t>
            </w:r>
            <w:r>
              <w:rPr>
                <w:color w:val="auto"/>
              </w:rPr>
            </w:r>
            <w:r/>
          </w:p>
          <w:p>
            <w:pPr>
              <w:ind w:left="0" w:right="12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auto"/>
                <w:sz w:val="24"/>
              </w:rPr>
              <w:t xml:space="preserve">2. </w:t>
            </w:r>
            <w:r>
              <w:rPr>
                <w:rFonts w:ascii="SimSun" w:hAnsi="SimSun" w:eastAsia="SimSun" w:cs="SimSun"/>
                <w:b/>
                <w:color w:val="auto"/>
                <w:sz w:val="24"/>
              </w:rPr>
              <w:t xml:space="preserve">分镜头脚本（满分</w:t>
            </w:r>
            <w:r>
              <w:rPr>
                <w:rFonts w:ascii="Times New Roman" w:hAnsi="Times New Roman" w:eastAsia="Times New Roman" w:cs="Times New Roman"/>
                <w:b/>
                <w:color w:val="auto"/>
                <w:sz w:val="24"/>
              </w:rPr>
              <w:t xml:space="preserve">4</w:t>
            </w:r>
            <w:r>
              <w:rPr>
                <w:rFonts w:ascii="SimSun" w:hAnsi="SimSun" w:eastAsia="SimSun" w:cs="SimSun"/>
                <w:b/>
                <w:color w:val="auto"/>
                <w:sz w:val="24"/>
              </w:rPr>
              <w:t xml:space="preserve">分）</w:t>
            </w:r>
            <w:r>
              <w:rPr>
                <w:color w:val="auto"/>
              </w:rPr>
            </w:r>
            <w:r/>
          </w:p>
          <w:p>
            <w:pPr>
              <w:ind w:left="0" w:right="12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评审内容：</w:t>
            </w:r>
            <w:r>
              <w:rPr>
                <w:color w:val="auto"/>
              </w:rPr>
            </w:r>
            <w:r/>
          </w:p>
          <w:p>
            <w:pPr>
              <w:ind w:left="0" w:right="12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投标人需根据剧本创作静态分镜头脚本，内容应包括画面构图、描述、对白、时间等信息。重点评审分镜头的细致程度、美术风格统一性、画面表现力、镜头调度能力及光影设置合理性。</w:t>
            </w:r>
            <w:r>
              <w:rPr>
                <w:color w:val="auto"/>
              </w:rPr>
            </w:r>
            <w:r/>
          </w:p>
          <w:p>
            <w:pPr>
              <w:ind w:left="0" w:right="12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评分细则：</w:t>
            </w:r>
            <w:r>
              <w:rPr>
                <w:color w:val="auto"/>
              </w:rPr>
            </w:r>
            <w:r/>
          </w:p>
          <w:p>
            <w:pPr>
              <w:ind w:left="0" w:right="12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A</w:t>
            </w:r>
            <w:r>
              <w:rPr>
                <w:rFonts w:ascii="SimSun" w:hAnsi="SimSun" w:eastAsia="SimSun" w:cs="SimSun"/>
                <w:color w:val="auto"/>
                <w:sz w:val="24"/>
              </w:rPr>
              <w:t xml:space="preserve">类（</w:t>
            </w:r>
            <w:r>
              <w:rPr>
                <w:rFonts w:ascii="Times New Roman" w:hAnsi="Times New Roman" w:eastAsia="Times New Roman" w:cs="Times New Roman"/>
                <w:color w:val="auto"/>
                <w:sz w:val="24"/>
              </w:rPr>
              <w:t xml:space="preserve">4</w:t>
            </w:r>
            <w:r>
              <w:rPr>
                <w:rFonts w:ascii="SimSun" w:hAnsi="SimSun" w:eastAsia="SimSun" w:cs="SimSun"/>
                <w:color w:val="auto"/>
                <w:sz w:val="24"/>
              </w:rPr>
              <w:t xml:space="preserve">分）：</w:t>
            </w:r>
            <w:r>
              <w:rPr>
                <w:color w:val="auto"/>
              </w:rPr>
            </w:r>
            <w:r/>
          </w:p>
          <w:p>
            <w:pPr>
              <w:ind w:left="0" w:right="12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分镜头紧密贴合剧本情境与节奏变化，能准确表现角色情绪与叙事张力；画面品质高，景别丰富，镜头调度灵活，运动镜头设计合理；光影设置科学，明暗关系清晰，环境光效逼真，具备较强的三维视觉表现力。</w:t>
            </w:r>
            <w:r>
              <w:rPr>
                <w:color w:val="auto"/>
              </w:rPr>
            </w:r>
            <w:r/>
          </w:p>
          <w:p>
            <w:pPr>
              <w:ind w:left="0" w:right="12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B</w:t>
            </w:r>
            <w:r>
              <w:rPr>
                <w:rFonts w:ascii="SimSun" w:hAnsi="SimSun" w:eastAsia="SimSun" w:cs="SimSun"/>
                <w:color w:val="auto"/>
                <w:sz w:val="24"/>
              </w:rPr>
              <w:t xml:space="preserve">类（</w:t>
            </w:r>
            <w:r>
              <w:rPr>
                <w:rFonts w:ascii="Times New Roman" w:hAnsi="Times New Roman" w:eastAsia="Times New Roman" w:cs="Times New Roman"/>
                <w:color w:val="auto"/>
                <w:sz w:val="24"/>
              </w:rPr>
              <w:t xml:space="preserve">2</w:t>
            </w:r>
            <w:r>
              <w:rPr>
                <w:rFonts w:ascii="SimSun" w:hAnsi="SimSun" w:eastAsia="SimSun" w:cs="SimSun"/>
                <w:color w:val="auto"/>
                <w:sz w:val="24"/>
              </w:rPr>
              <w:t xml:space="preserve">分）：</w:t>
            </w:r>
            <w:r>
              <w:rPr>
                <w:color w:val="auto"/>
              </w:rPr>
            </w:r>
            <w:r/>
          </w:p>
          <w:p>
            <w:pPr>
              <w:ind w:left="0" w:right="12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分镜头基本符合剧本情景与节奏，能表现基本角色情绪与叙事要求；画面品质尚可，景别有一定变化，具备基本镜头调度与运动镜头设计；光影设置基本合理，明暗关系可见。</w:t>
            </w:r>
            <w:r>
              <w:rPr>
                <w:color w:val="auto"/>
              </w:rPr>
            </w:r>
            <w:r/>
          </w:p>
          <w:p>
            <w:pPr>
              <w:ind w:left="0" w:right="12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C</w:t>
            </w:r>
            <w:r>
              <w:rPr>
                <w:rFonts w:ascii="SimSun" w:hAnsi="SimSun" w:eastAsia="SimSun" w:cs="SimSun"/>
                <w:color w:val="auto"/>
                <w:sz w:val="24"/>
              </w:rPr>
              <w:t xml:space="preserve">类（</w:t>
            </w:r>
            <w:r>
              <w:rPr>
                <w:rFonts w:ascii="Times New Roman" w:hAnsi="Times New Roman" w:eastAsia="Times New Roman" w:cs="Times New Roman"/>
                <w:color w:val="auto"/>
                <w:sz w:val="24"/>
              </w:rPr>
              <w:t xml:space="preserve">0</w:t>
            </w:r>
            <w:r>
              <w:rPr>
                <w:rFonts w:ascii="SimSun" w:hAnsi="SimSun" w:eastAsia="SimSun" w:cs="SimSun"/>
                <w:color w:val="auto"/>
                <w:sz w:val="24"/>
              </w:rPr>
              <w:t xml:space="preserve">分）：</w:t>
            </w:r>
            <w:r>
              <w:rPr>
                <w:color w:val="auto"/>
              </w:rPr>
            </w:r>
            <w:r/>
          </w:p>
          <w:p>
            <w:pPr>
              <w:ind w:left="0" w:right="12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分镜头与剧本脱节，画面表达粗糙，缺乏镜头语言设计，或未提供分镜头脚本。</w:t>
            </w:r>
            <w:r>
              <w:rPr>
                <w:color w:val="auto"/>
              </w:rPr>
            </w:r>
            <w:r/>
          </w:p>
        </w:tc>
      </w:tr>
      <w:tr>
        <w:trPr>
          <w:trHeight w:val="313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13" w:type="dxa"/>
              <w:top w:w="0" w:type="dxa"/>
              <w:right w:w="113" w:type="dxa"/>
              <w:bottom w:w="0" w:type="dxa"/>
            </w:tcMar>
            <w:tcW w:w="1524"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制作技术</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8</w:t>
            </w:r>
            <w:r>
              <w:rPr>
                <w:rFonts w:ascii="SimSun" w:hAnsi="SimSun" w:eastAsia="SimSun" w:cs="SimSun"/>
                <w:color w:val="auto"/>
                <w:sz w:val="24"/>
              </w:rPr>
              <w:t xml:space="preserve">分）</w:t>
            </w:r>
            <w:r>
              <w:rPr>
                <w:color w:val="auto"/>
              </w:rPr>
            </w:r>
            <w:r/>
          </w:p>
        </w:tc>
        <w:tc>
          <w:tcPr>
            <w:tcBorders>
              <w:top w:val="single" w:color="000000" w:sz="4" w:space="0"/>
              <w:left w:val="single" w:color="000000" w:sz="4" w:space="0"/>
              <w:bottom w:val="single" w:color="000000" w:sz="4" w:space="0"/>
              <w:right w:val="single" w:color="000000" w:sz="4" w:space="0"/>
            </w:tcBorders>
            <w:tcMar>
              <w:left w:w="113" w:type="dxa"/>
              <w:top w:w="0" w:type="dxa"/>
              <w:right w:w="113" w:type="dxa"/>
              <w:bottom w:w="0" w:type="dxa"/>
            </w:tcMar>
            <w:tcW w:w="6510" w:type="dxa"/>
            <w:vAlign w:val="center"/>
            <w:textDirection w:val="lrTb"/>
            <w:noWrap w:val="false"/>
          </w:tcPr>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该项满分</w:t>
            </w:r>
            <w:r>
              <w:rPr>
                <w:rFonts w:ascii="Times New Roman" w:hAnsi="Times New Roman" w:eastAsia="Times New Roman" w:cs="Times New Roman"/>
                <w:b/>
                <w:color w:val="auto"/>
                <w:sz w:val="24"/>
              </w:rPr>
              <w:t xml:space="preserve">8</w:t>
            </w:r>
            <w:r>
              <w:rPr>
                <w:rFonts w:ascii="SimSun" w:hAnsi="SimSun" w:eastAsia="SimSun" w:cs="SimSun"/>
                <w:b/>
                <w:color w:val="auto"/>
                <w:sz w:val="24"/>
              </w:rPr>
              <w:t xml:space="preserve">分，分为技术手段与技术方案两部分。</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auto"/>
                <w:sz w:val="24"/>
              </w:rPr>
              <w:t xml:space="preserve">1. </w:t>
            </w:r>
            <w:r>
              <w:rPr>
                <w:rFonts w:ascii="SimSun" w:hAnsi="SimSun" w:eastAsia="SimSun" w:cs="SimSun"/>
                <w:b/>
                <w:color w:val="auto"/>
                <w:sz w:val="24"/>
              </w:rPr>
              <w:t xml:space="preserve">技术手段（满分</w:t>
            </w:r>
            <w:r>
              <w:rPr>
                <w:rFonts w:ascii="Times New Roman" w:hAnsi="Times New Roman" w:eastAsia="Times New Roman" w:cs="Times New Roman"/>
                <w:b/>
                <w:color w:val="auto"/>
                <w:sz w:val="24"/>
              </w:rPr>
              <w:t xml:space="preserve">4</w:t>
            </w:r>
            <w:r>
              <w:rPr>
                <w:rFonts w:ascii="SimSun" w:hAnsi="SimSun" w:eastAsia="SimSun" w:cs="SimSun"/>
                <w:b/>
                <w:color w:val="auto"/>
                <w:sz w:val="24"/>
              </w:rPr>
              <w:t xml:space="preserve">分）</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评审内容：</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根据投标人提供的制作方案中有关技术手段（包括但不限于画面效果、场景复原、角色建模、动作表现、特效渲染、环境构建等）进行综合评审，重点考察其技术先进性、还原度与表现力。</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评分细则：</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A</w:t>
            </w:r>
            <w:r>
              <w:rPr>
                <w:rFonts w:ascii="SimSun" w:hAnsi="SimSun" w:eastAsia="SimSun" w:cs="SimSun"/>
                <w:color w:val="auto"/>
                <w:sz w:val="24"/>
              </w:rPr>
              <w:t xml:space="preserve">类（</w:t>
            </w:r>
            <w:r>
              <w:rPr>
                <w:rFonts w:ascii="Times New Roman" w:hAnsi="Times New Roman" w:eastAsia="Times New Roman" w:cs="Times New Roman"/>
                <w:color w:val="auto"/>
                <w:sz w:val="24"/>
              </w:rPr>
              <w:t xml:space="preserve">4</w:t>
            </w:r>
            <w:r>
              <w:rPr>
                <w:rFonts w:ascii="SimSun" w:hAnsi="SimSun" w:eastAsia="SimSun" w:cs="SimSun"/>
                <w:color w:val="auto"/>
                <w:sz w:val="24"/>
              </w:rPr>
              <w:t xml:space="preserve">分）：</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具备在历史资料基础上运用超写实三维制作技术，对战场环境、军事装备、人物形象等进行高度还原；动画表演能够借助专业动作捕捉系统完成，角色动作流畅自然，场景细节丰富，光影效果逼真，具备电影级画面表现力。</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B</w:t>
            </w:r>
            <w:r>
              <w:rPr>
                <w:rFonts w:ascii="SimSun" w:hAnsi="SimSun" w:eastAsia="SimSun" w:cs="SimSun"/>
                <w:color w:val="auto"/>
                <w:sz w:val="24"/>
              </w:rPr>
              <w:t xml:space="preserve">类（</w:t>
            </w:r>
            <w:r>
              <w:rPr>
                <w:rFonts w:ascii="Times New Roman" w:hAnsi="Times New Roman" w:eastAsia="Times New Roman" w:cs="Times New Roman"/>
                <w:color w:val="auto"/>
                <w:sz w:val="24"/>
              </w:rPr>
              <w:t xml:space="preserve">2</w:t>
            </w:r>
            <w:r>
              <w:rPr>
                <w:rFonts w:ascii="SimSun" w:hAnsi="SimSun" w:eastAsia="SimSun" w:cs="SimSun"/>
                <w:color w:val="auto"/>
                <w:sz w:val="24"/>
              </w:rPr>
              <w:t xml:space="preserve">分）：</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在历史资料基础上运用三维制作技术进行场景与角色复原，还原度较好；能够借助动作捕捉系统完成部分动画表演，动作表现基本自然，画面效果良好，但在细节或光影表现上略有不足。</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C</w:t>
            </w:r>
            <w:r>
              <w:rPr>
                <w:rFonts w:ascii="SimSun" w:hAnsi="SimSun" w:eastAsia="SimSun" w:cs="SimSun"/>
                <w:color w:val="auto"/>
                <w:sz w:val="24"/>
              </w:rPr>
              <w:t xml:space="preserve">类（</w:t>
            </w: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分）：</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对场景与角色的复原度一般，动画表演主要依赖传统关键帧制作，画面效果与动作表现基本达标，但缺乏细节与真实感。</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D</w:t>
            </w:r>
            <w:r>
              <w:rPr>
                <w:rFonts w:ascii="SimSun" w:hAnsi="SimSun" w:eastAsia="SimSun" w:cs="SimSun"/>
                <w:color w:val="auto"/>
                <w:sz w:val="24"/>
              </w:rPr>
              <w:t xml:space="preserve">类（</w:t>
            </w:r>
            <w:r>
              <w:rPr>
                <w:rFonts w:ascii="Times New Roman" w:hAnsi="Times New Roman" w:eastAsia="Times New Roman" w:cs="Times New Roman"/>
                <w:color w:val="auto"/>
                <w:sz w:val="24"/>
              </w:rPr>
              <w:t xml:space="preserve">0</w:t>
            </w:r>
            <w:r>
              <w:rPr>
                <w:rFonts w:ascii="SimSun" w:hAnsi="SimSun" w:eastAsia="SimSun" w:cs="SimSun"/>
                <w:color w:val="auto"/>
                <w:sz w:val="24"/>
              </w:rPr>
              <w:t xml:space="preserve">分）：</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未提供相关技术手段说明，或技术手段明显无法满足项目基本制作需求。</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auto"/>
                <w:sz w:val="24"/>
              </w:rPr>
              <w:t xml:space="preserve">2. </w:t>
            </w:r>
            <w:r>
              <w:rPr>
                <w:rFonts w:ascii="SimSun" w:hAnsi="SimSun" w:eastAsia="SimSun" w:cs="SimSun"/>
                <w:b/>
                <w:color w:val="auto"/>
                <w:sz w:val="24"/>
              </w:rPr>
              <w:t xml:space="preserve">技术方案（满分</w:t>
            </w:r>
            <w:r>
              <w:rPr>
                <w:rFonts w:ascii="Times New Roman" w:hAnsi="Times New Roman" w:eastAsia="Times New Roman" w:cs="Times New Roman"/>
                <w:b/>
                <w:color w:val="auto"/>
                <w:sz w:val="24"/>
              </w:rPr>
              <w:t xml:space="preserve">4</w:t>
            </w:r>
            <w:r>
              <w:rPr>
                <w:rFonts w:ascii="SimSun" w:hAnsi="SimSun" w:eastAsia="SimSun" w:cs="SimSun"/>
                <w:b/>
                <w:color w:val="auto"/>
                <w:sz w:val="24"/>
              </w:rPr>
              <w:t xml:space="preserve">分）</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评审内容：</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根据投标人提供的三维动画制作技术方案进行综合评审，方案需包含制作技术标准、流程设计、节点控制、质量控制、资源管理等内容，确保项目执行有序、高效、可控。</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评分细则：</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A</w:t>
            </w:r>
            <w:r>
              <w:rPr>
                <w:rFonts w:ascii="SimSun" w:hAnsi="SimSun" w:eastAsia="SimSun" w:cs="SimSun"/>
                <w:color w:val="auto"/>
                <w:sz w:val="24"/>
              </w:rPr>
              <w:t xml:space="preserve">类（</w:t>
            </w:r>
            <w:r>
              <w:rPr>
                <w:rFonts w:ascii="Times New Roman" w:hAnsi="Times New Roman" w:eastAsia="Times New Roman" w:cs="Times New Roman"/>
                <w:color w:val="auto"/>
                <w:sz w:val="24"/>
              </w:rPr>
              <w:t xml:space="preserve">4</w:t>
            </w:r>
            <w:r>
              <w:rPr>
                <w:rFonts w:ascii="SimSun" w:hAnsi="SimSun" w:eastAsia="SimSun" w:cs="SimSun"/>
                <w:color w:val="auto"/>
                <w:sz w:val="24"/>
              </w:rPr>
              <w:t xml:space="preserve">分）：</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技术方案专业完整，流程清晰合理，涵盖前期建模、绑定、动画、渲染、后期合成等全环节；节点设置科学，质量控制措施明确，资源调配与风险应对机制完善，具备较强的可执行性与保障性。</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B</w:t>
            </w:r>
            <w:r>
              <w:rPr>
                <w:rFonts w:ascii="SimSun" w:hAnsi="SimSun" w:eastAsia="SimSun" w:cs="SimSun"/>
                <w:color w:val="auto"/>
                <w:sz w:val="24"/>
              </w:rPr>
              <w:t xml:space="preserve">类（</w:t>
            </w:r>
            <w:r>
              <w:rPr>
                <w:rFonts w:ascii="Times New Roman" w:hAnsi="Times New Roman" w:eastAsia="Times New Roman" w:cs="Times New Roman"/>
                <w:color w:val="auto"/>
                <w:sz w:val="24"/>
              </w:rPr>
              <w:t xml:space="preserve">2</w:t>
            </w:r>
            <w:r>
              <w:rPr>
                <w:rFonts w:ascii="SimSun" w:hAnsi="SimSun" w:eastAsia="SimSun" w:cs="SimSun"/>
                <w:color w:val="auto"/>
                <w:sz w:val="24"/>
              </w:rPr>
              <w:t xml:space="preserve">分）：</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技术方案基本完整，流程设计较为合理，节点控制与质量措施基本明确，但在细节或流程衔接上存在一定不足，整体可行。</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C</w:t>
            </w:r>
            <w:r>
              <w:rPr>
                <w:rFonts w:ascii="SimSun" w:hAnsi="SimSun" w:eastAsia="SimSun" w:cs="SimSun"/>
                <w:color w:val="auto"/>
                <w:sz w:val="24"/>
              </w:rPr>
              <w:t xml:space="preserve">类（</w:t>
            </w: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分）：</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技术方案内容不完整，流程设计粗糙，节点控制与质量措施缺失较多，执行风险较高。</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D</w:t>
            </w:r>
            <w:r>
              <w:rPr>
                <w:rFonts w:ascii="SimSun" w:hAnsi="SimSun" w:eastAsia="SimSun" w:cs="SimSun"/>
                <w:color w:val="auto"/>
                <w:sz w:val="24"/>
              </w:rPr>
              <w:t xml:space="preserve">类（</w:t>
            </w:r>
            <w:r>
              <w:rPr>
                <w:rFonts w:ascii="Times New Roman" w:hAnsi="Times New Roman" w:eastAsia="Times New Roman" w:cs="Times New Roman"/>
                <w:color w:val="auto"/>
                <w:sz w:val="24"/>
              </w:rPr>
              <w:t xml:space="preserve">0</w:t>
            </w:r>
            <w:r>
              <w:rPr>
                <w:rFonts w:ascii="SimSun" w:hAnsi="SimSun" w:eastAsia="SimSun" w:cs="SimSun"/>
                <w:color w:val="auto"/>
                <w:sz w:val="24"/>
              </w:rPr>
              <w:t xml:space="preserve">分）：</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未提供技术方案，或方案严重不符合项目制作要求。</w:t>
            </w:r>
            <w:r>
              <w:rPr>
                <w:color w:val="auto"/>
              </w:rPr>
            </w:r>
            <w:r/>
          </w:p>
        </w:tc>
      </w:tr>
      <w:tr>
        <w:trPr>
          <w:trHeight w:val="101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13" w:type="dxa"/>
              <w:top w:w="0" w:type="dxa"/>
              <w:right w:w="113" w:type="dxa"/>
              <w:bottom w:w="0" w:type="dxa"/>
            </w:tcMar>
            <w:tcW w:w="1524"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硬件设备</w:t>
            </w:r>
            <w:r>
              <w:rPr>
                <w:color w:val="auto"/>
              </w:rPr>
            </w:r>
            <w:r/>
          </w:p>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4"/>
              </w:rPr>
              <w:t xml:space="preserve">（</w:t>
            </w:r>
            <w:r>
              <w:rPr>
                <w:rFonts w:ascii="Calibri" w:hAnsi="Calibri" w:eastAsia="Calibri" w:cs="Calibri"/>
                <w:color w:val="auto"/>
                <w:sz w:val="24"/>
              </w:rPr>
              <w:t xml:space="preserve">18</w:t>
            </w:r>
            <w:r>
              <w:rPr>
                <w:rFonts w:ascii="Arial" w:hAnsi="Arial" w:eastAsia="Arial" w:cs="Arial"/>
                <w:color w:val="auto"/>
                <w:sz w:val="24"/>
              </w:rPr>
              <w:t xml:space="preserve">分）</w:t>
            </w:r>
            <w:r>
              <w:rPr>
                <w:color w:val="auto"/>
              </w:rPr>
            </w:r>
            <w:r/>
          </w:p>
        </w:tc>
        <w:tc>
          <w:tcPr>
            <w:tcBorders>
              <w:top w:val="single" w:color="000000" w:sz="4" w:space="0"/>
              <w:left w:val="single" w:color="000000" w:sz="4" w:space="0"/>
              <w:bottom w:val="single" w:color="000000" w:sz="4" w:space="0"/>
              <w:right w:val="single" w:color="000000" w:sz="4" w:space="0"/>
            </w:tcBorders>
            <w:tcMar>
              <w:left w:w="113" w:type="dxa"/>
              <w:top w:w="0" w:type="dxa"/>
              <w:right w:w="113" w:type="dxa"/>
              <w:bottom w:w="0" w:type="dxa"/>
            </w:tcMar>
            <w:tcW w:w="6510" w:type="dxa"/>
            <w:vAlign w:val="center"/>
            <w:textDirection w:val="lrTb"/>
            <w:noWrap w:val="false"/>
          </w:tcPr>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完全满足“第六章采购需求（四）配套</w:t>
            </w:r>
            <w:r>
              <w:rPr>
                <w:rFonts w:ascii="Times New Roman" w:hAnsi="Times New Roman" w:eastAsia="Times New Roman" w:cs="Times New Roman"/>
                <w:color w:val="auto"/>
                <w:sz w:val="24"/>
              </w:rPr>
              <w:t xml:space="preserve">3D</w:t>
            </w:r>
            <w:r>
              <w:rPr>
                <w:rFonts w:ascii="SimSun" w:hAnsi="SimSun" w:eastAsia="SimSun" w:cs="SimSun"/>
                <w:color w:val="auto"/>
                <w:sz w:val="24"/>
              </w:rPr>
              <w:t xml:space="preserve">影片播放硬件系统建设”的质量、安全、技术规格、物理特性等要求的得</w:t>
            </w:r>
            <w:r>
              <w:rPr>
                <w:rFonts w:ascii="Calibri" w:hAnsi="Calibri" w:eastAsia="Calibri" w:cs="Calibri"/>
                <w:color w:val="auto"/>
                <w:sz w:val="24"/>
              </w:rPr>
              <w:t xml:space="preserve">18</w:t>
            </w:r>
            <w:r>
              <w:rPr>
                <w:rFonts w:ascii="SimSun" w:hAnsi="SimSun" w:eastAsia="SimSun" w:cs="SimSun"/>
                <w:color w:val="auto"/>
                <w:sz w:val="24"/>
              </w:rPr>
              <w:t xml:space="preserve">分，每负偏离一条扣</w:t>
            </w: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分。本项最高</w:t>
            </w:r>
            <w:r>
              <w:rPr>
                <w:rFonts w:ascii="Calibri" w:hAnsi="Calibri" w:eastAsia="Calibri" w:cs="Calibri"/>
                <w:color w:val="auto"/>
                <w:sz w:val="24"/>
              </w:rPr>
              <w:t xml:space="preserve">18</w:t>
            </w:r>
            <w:r>
              <w:rPr>
                <w:rFonts w:ascii="SimSun" w:hAnsi="SimSun" w:eastAsia="SimSun" w:cs="SimSun"/>
                <w:color w:val="auto"/>
                <w:sz w:val="24"/>
              </w:rPr>
              <w:t xml:space="preserve">分，最低</w:t>
            </w:r>
            <w:r>
              <w:rPr>
                <w:rFonts w:ascii="Times New Roman" w:hAnsi="Times New Roman" w:eastAsia="Times New Roman" w:cs="Times New Roman"/>
                <w:color w:val="auto"/>
                <w:sz w:val="24"/>
              </w:rPr>
              <w:t xml:space="preserve">0</w:t>
            </w:r>
            <w:r>
              <w:rPr>
                <w:rFonts w:ascii="SimSun" w:hAnsi="SimSun" w:eastAsia="SimSun" w:cs="SimSun"/>
                <w:color w:val="auto"/>
                <w:sz w:val="24"/>
              </w:rPr>
              <w:t xml:space="preserve">分。扣完为止。</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tc>
      </w:tr>
      <w:tr>
        <w:trPr>
          <w:trHeight w:val="217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13" w:type="dxa"/>
              <w:top w:w="0" w:type="dxa"/>
              <w:right w:w="113" w:type="dxa"/>
              <w:bottom w:w="0" w:type="dxa"/>
            </w:tcMar>
            <w:tcW w:w="1524"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拟投入的项目的设备及软件</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5</w:t>
            </w:r>
            <w:r>
              <w:rPr>
                <w:rFonts w:ascii="SimSun" w:hAnsi="SimSun" w:eastAsia="SimSun" w:cs="SimSun"/>
                <w:color w:val="auto"/>
                <w:sz w:val="24"/>
              </w:rPr>
              <w:t xml:space="preserve">分）</w:t>
            </w:r>
            <w:r>
              <w:rPr>
                <w:color w:val="auto"/>
              </w:rPr>
            </w:r>
            <w:r/>
          </w:p>
        </w:tc>
        <w:tc>
          <w:tcPr>
            <w:tcBorders>
              <w:top w:val="single" w:color="000000" w:sz="4" w:space="0"/>
              <w:left w:val="single" w:color="000000" w:sz="4" w:space="0"/>
              <w:bottom w:val="single" w:color="000000" w:sz="4" w:space="0"/>
              <w:right w:val="single" w:color="000000" w:sz="4" w:space="0"/>
            </w:tcBorders>
            <w:tcMar>
              <w:left w:w="113" w:type="dxa"/>
              <w:top w:w="0" w:type="dxa"/>
              <w:right w:w="113" w:type="dxa"/>
              <w:bottom w:w="0" w:type="dxa"/>
            </w:tcMar>
            <w:tcW w:w="6510" w:type="dxa"/>
            <w:vAlign w:val="center"/>
            <w:textDirection w:val="lrTb"/>
            <w:noWrap w:val="false"/>
          </w:tcPr>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根据投标人拟用于本项目的拟投入的项目的设备及国内外先进软件情况进行综合评审：</w:t>
            </w:r>
            <w:r>
              <w:rPr>
                <w:rFonts w:ascii="Times New Roman" w:hAnsi="Times New Roman" w:eastAsia="Times New Roman" w:cs="Times New Roma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A</w:t>
            </w:r>
            <w:r>
              <w:rPr>
                <w:rFonts w:ascii="SimSun" w:hAnsi="SimSun" w:eastAsia="SimSun" w:cs="SimSun"/>
                <w:color w:val="auto"/>
                <w:sz w:val="24"/>
              </w:rPr>
              <w:t xml:space="preserve">拟投入的项目的设备及软件种类丰富、技术先进，得</w:t>
            </w:r>
            <w:r>
              <w:rPr>
                <w:rFonts w:ascii="Times New Roman" w:hAnsi="Times New Roman" w:eastAsia="Times New Roman" w:cs="Times New Roman"/>
                <w:color w:val="auto"/>
                <w:sz w:val="24"/>
              </w:rPr>
              <w:t xml:space="preserve">5</w:t>
            </w:r>
            <w:r>
              <w:rPr>
                <w:rFonts w:ascii="SimSun" w:hAnsi="SimSun" w:eastAsia="SimSun" w:cs="SimSun"/>
                <w:color w:val="auto"/>
                <w:sz w:val="24"/>
              </w:rPr>
              <w:t xml:space="preserve">分；</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B</w:t>
            </w:r>
            <w:r>
              <w:rPr>
                <w:rFonts w:ascii="SimSun" w:hAnsi="SimSun" w:eastAsia="SimSun" w:cs="SimSun"/>
                <w:color w:val="auto"/>
                <w:sz w:val="24"/>
              </w:rPr>
              <w:t xml:space="preserve">拟投入的项目的设备及软件种类较丰富、技术较先进，得</w:t>
            </w:r>
            <w:r>
              <w:rPr>
                <w:rFonts w:ascii="Times New Roman" w:hAnsi="Times New Roman" w:eastAsia="Times New Roman" w:cs="Times New Roman"/>
                <w:color w:val="auto"/>
                <w:sz w:val="24"/>
              </w:rPr>
              <w:t xml:space="preserve">3</w:t>
            </w:r>
            <w:r>
              <w:rPr>
                <w:rFonts w:ascii="SimSun" w:hAnsi="SimSun" w:eastAsia="SimSun" w:cs="SimSun"/>
                <w:color w:val="auto"/>
                <w:sz w:val="24"/>
              </w:rPr>
              <w:t xml:space="preserve">分；</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C</w:t>
            </w:r>
            <w:r>
              <w:rPr>
                <w:rFonts w:ascii="SimSun" w:hAnsi="SimSun" w:eastAsia="SimSun" w:cs="SimSun"/>
                <w:color w:val="auto"/>
                <w:sz w:val="24"/>
              </w:rPr>
              <w:t xml:space="preserve">拟投入的项目的设备及软件种类一般、技术一般，得</w:t>
            </w: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分；</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D</w:t>
            </w:r>
            <w:r>
              <w:rPr>
                <w:rFonts w:ascii="SimSun" w:hAnsi="SimSun" w:eastAsia="SimSun" w:cs="SimSun"/>
                <w:color w:val="auto"/>
                <w:sz w:val="24"/>
              </w:rPr>
              <w:t xml:space="preserve">拟投入的项目的设备及软件种类较少、技术差，不得分。</w:t>
            </w:r>
            <w:r>
              <w:rPr>
                <w:color w:val="auto"/>
              </w:rPr>
            </w:r>
            <w:r/>
          </w:p>
        </w:tc>
      </w:tr>
      <w:tr>
        <w:trPr>
          <w:trHeight w:val="326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13" w:type="dxa"/>
              <w:top w:w="0" w:type="dxa"/>
              <w:right w:w="113" w:type="dxa"/>
              <w:bottom w:w="0" w:type="dxa"/>
            </w:tcMar>
            <w:tcW w:w="1524"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企业资质及项目团队</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10</w:t>
            </w:r>
            <w:r>
              <w:rPr>
                <w:rFonts w:ascii="SimSun" w:hAnsi="SimSun" w:eastAsia="SimSun" w:cs="SimSun"/>
                <w:color w:val="auto"/>
                <w:sz w:val="24"/>
              </w:rPr>
              <w:t xml:space="preserve">分）</w:t>
            </w:r>
            <w:r>
              <w:rPr>
                <w:color w:val="auto"/>
              </w:rPr>
            </w:r>
            <w:r/>
          </w:p>
        </w:tc>
        <w:tc>
          <w:tcPr>
            <w:tcBorders>
              <w:top w:val="single" w:color="000000" w:sz="4" w:space="0"/>
              <w:left w:val="single" w:color="000000" w:sz="4" w:space="0"/>
              <w:bottom w:val="single" w:color="000000" w:sz="4" w:space="0"/>
              <w:right w:val="single" w:color="000000" w:sz="4" w:space="0"/>
            </w:tcBorders>
            <w:tcMar>
              <w:left w:w="113" w:type="dxa"/>
              <w:top w:w="0" w:type="dxa"/>
              <w:right w:w="113" w:type="dxa"/>
              <w:bottom w:w="0" w:type="dxa"/>
            </w:tcMar>
            <w:tcW w:w="6510" w:type="dxa"/>
            <w:vAlign w:val="center"/>
            <w:textDirection w:val="lrTb"/>
            <w:noWrap w:val="false"/>
          </w:tcPr>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根据投标人拟投入本次项目负责人和项目团队成员进行评价。</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企业具备电影拍摄许可资质，得</w:t>
            </w:r>
            <w:r>
              <w:rPr>
                <w:rFonts w:ascii="Times New Roman" w:hAnsi="Times New Roman" w:eastAsia="Times New Roman" w:cs="Times New Roman"/>
                <w:color w:val="auto"/>
                <w:sz w:val="24"/>
              </w:rPr>
              <w:t xml:space="preserve">2</w:t>
            </w:r>
            <w:r>
              <w:rPr>
                <w:rFonts w:ascii="SimSun" w:hAnsi="SimSun" w:eastAsia="SimSun" w:cs="SimSun"/>
                <w:color w:val="auto"/>
                <w:sz w:val="24"/>
              </w:rPr>
              <w:t xml:space="preserve">分，无相关资质不得分；</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w:t>
            </w:r>
            <w:r>
              <w:rPr>
                <w:rFonts w:ascii="SimSun" w:hAnsi="SimSun" w:eastAsia="SimSun" w:cs="SimSun"/>
                <w:color w:val="auto"/>
                <w:sz w:val="24"/>
              </w:rPr>
              <w:t xml:space="preserve">项目负责人要求：</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担任过动画影片项目的负责人、重要技术岗位，每一部得</w:t>
            </w: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分，最高得</w:t>
            </w:r>
            <w:r>
              <w:rPr>
                <w:rFonts w:ascii="Times New Roman" w:hAnsi="Times New Roman" w:eastAsia="Times New Roman" w:cs="Times New Roman"/>
                <w:color w:val="auto"/>
                <w:sz w:val="24"/>
              </w:rPr>
              <w:t xml:space="preserve">3</w:t>
            </w:r>
            <w:r>
              <w:rPr>
                <w:rFonts w:ascii="SimSun" w:hAnsi="SimSun" w:eastAsia="SimSun" w:cs="SimSun"/>
                <w:color w:val="auto"/>
                <w:sz w:val="24"/>
              </w:rPr>
              <w:t xml:space="preserve">分。</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注：需提供项目负责人工作履历、典型作品简介、劳动合同等相关证明材料复印件并加盖公章。</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3.</w:t>
            </w:r>
            <w:r>
              <w:rPr>
                <w:rFonts w:ascii="SimSun" w:hAnsi="SimSun" w:eastAsia="SimSun" w:cs="SimSun"/>
                <w:color w:val="auto"/>
                <w:sz w:val="24"/>
              </w:rPr>
              <w:t xml:space="preserve">项目组人员要求：</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项目团队需由专业导演、编剧、编辑、录音师、动画师、后期特效师人员构成，其人员全部配备得</w:t>
            </w:r>
            <w:r>
              <w:rPr>
                <w:rFonts w:ascii="Times New Roman" w:hAnsi="Times New Roman" w:eastAsia="Times New Roman" w:cs="Times New Roman"/>
                <w:color w:val="auto"/>
                <w:sz w:val="24"/>
              </w:rPr>
              <w:t xml:space="preserve">5</w:t>
            </w:r>
            <w:r>
              <w:rPr>
                <w:rFonts w:ascii="SimSun" w:hAnsi="SimSun" w:eastAsia="SimSun" w:cs="SimSun"/>
                <w:color w:val="auto"/>
                <w:sz w:val="24"/>
              </w:rPr>
              <w:t xml:space="preserve">分；专业人员缺少</w:t>
            </w: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种得</w:t>
            </w:r>
            <w:r>
              <w:rPr>
                <w:rFonts w:ascii="Times New Roman" w:hAnsi="Times New Roman" w:eastAsia="Times New Roman" w:cs="Times New Roman"/>
                <w:color w:val="auto"/>
                <w:sz w:val="24"/>
              </w:rPr>
              <w:t xml:space="preserve">3</w:t>
            </w:r>
            <w:r>
              <w:rPr>
                <w:rFonts w:ascii="SimSun" w:hAnsi="SimSun" w:eastAsia="SimSun" w:cs="SimSun"/>
                <w:color w:val="auto"/>
                <w:sz w:val="24"/>
              </w:rPr>
              <w:t xml:space="preserve">分；专业人员缺少</w:t>
            </w:r>
            <w:r>
              <w:rPr>
                <w:rFonts w:ascii="Times New Roman" w:hAnsi="Times New Roman" w:eastAsia="Times New Roman" w:cs="Times New Roman"/>
                <w:color w:val="auto"/>
                <w:sz w:val="24"/>
              </w:rPr>
              <w:t xml:space="preserve">2</w:t>
            </w:r>
            <w:r>
              <w:rPr>
                <w:rFonts w:ascii="SimSun" w:hAnsi="SimSun" w:eastAsia="SimSun" w:cs="SimSun"/>
                <w:color w:val="auto"/>
                <w:sz w:val="24"/>
              </w:rPr>
              <w:t xml:space="preserve">种得</w:t>
            </w: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分；专业人员缺少</w:t>
            </w:r>
            <w:r>
              <w:rPr>
                <w:rFonts w:ascii="Times New Roman" w:hAnsi="Times New Roman" w:eastAsia="Times New Roman" w:cs="Times New Roman"/>
                <w:color w:val="auto"/>
                <w:sz w:val="24"/>
              </w:rPr>
              <w:t xml:space="preserve">2</w:t>
            </w:r>
            <w:r>
              <w:rPr>
                <w:rFonts w:ascii="SimSun" w:hAnsi="SimSun" w:eastAsia="SimSun" w:cs="SimSun"/>
                <w:color w:val="auto"/>
                <w:sz w:val="24"/>
              </w:rPr>
              <w:t xml:space="preserve">种以上不得分。</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注：需提供实施团队的组织结构及人员构成、相应资质证书。</w:t>
            </w:r>
            <w:r>
              <w:rPr>
                <w:color w:val="auto"/>
              </w:rPr>
            </w:r>
            <w:r/>
          </w:p>
        </w:tc>
      </w:tr>
      <w:tr>
        <w:trPr>
          <w:trHeight w:val="575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13" w:type="dxa"/>
              <w:top w:w="0" w:type="dxa"/>
              <w:right w:w="113" w:type="dxa"/>
              <w:bottom w:w="0" w:type="dxa"/>
            </w:tcMar>
            <w:tcW w:w="1524" w:type="dxa"/>
            <w:vAlign w:val="center"/>
            <w:textDirection w:val="lrTb"/>
            <w:noWrap w:val="false"/>
          </w:tcPr>
          <w:p>
            <w:pPr>
              <w:ind w:left="0" w:right="0" w:firstLine="0"/>
              <w:jc w:val="center"/>
              <w:spacing w:before="200" w:after="200"/>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4"/>
              </w:rPr>
              <w:t xml:space="preserve">三维模型</w:t>
            </w:r>
            <w:r>
              <w:rPr>
                <w:color w:val="auto"/>
              </w:rPr>
            </w:r>
            <w:r/>
          </w:p>
          <w:p>
            <w:pPr>
              <w:ind w:left="0" w:right="0" w:firstLine="0"/>
              <w:jc w:val="center"/>
              <w:spacing w:before="200" w:after="200"/>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4"/>
              </w:rPr>
              <w:t xml:space="preserve">展示</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4"/>
              </w:rPr>
              <w:t xml:space="preserve">（</w:t>
            </w:r>
            <w:r>
              <w:rPr>
                <w:rFonts w:ascii="Calibri" w:hAnsi="Calibri" w:eastAsia="Calibri" w:cs="Calibri"/>
                <w:color w:val="auto"/>
                <w:sz w:val="24"/>
              </w:rPr>
              <w:t xml:space="preserve">8</w:t>
            </w:r>
            <w:r>
              <w:rPr>
                <w:rFonts w:ascii="Arial" w:hAnsi="Arial" w:eastAsia="Arial" w:cs="Arial"/>
                <w:color w:val="auto"/>
                <w:sz w:val="24"/>
              </w:rPr>
              <w:t xml:space="preserve">分）</w:t>
            </w:r>
            <w:r>
              <w:rPr>
                <w:color w:val="auto"/>
              </w:rPr>
            </w:r>
            <w:r/>
          </w:p>
        </w:tc>
        <w:tc>
          <w:tcPr>
            <w:tcBorders>
              <w:top w:val="single" w:color="000000" w:sz="4" w:space="0"/>
              <w:left w:val="single" w:color="000000" w:sz="4" w:space="0"/>
              <w:bottom w:val="single" w:color="000000" w:sz="4" w:space="0"/>
              <w:right w:val="single" w:color="000000" w:sz="4" w:space="0"/>
            </w:tcBorders>
            <w:tcMar>
              <w:left w:w="113" w:type="dxa"/>
              <w:top w:w="0" w:type="dxa"/>
              <w:right w:w="113" w:type="dxa"/>
              <w:bottom w:w="0" w:type="dxa"/>
            </w:tcMar>
            <w:tcW w:w="6510" w:type="dxa"/>
            <w:vAlign w:val="top"/>
            <w:textDirection w:val="lrTb"/>
            <w:noWrap w:val="false"/>
          </w:tcPr>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4"/>
              </w:rPr>
              <w:t xml:space="preserve">三维模型演示评分标准（满分</w:t>
            </w:r>
            <w:r>
              <w:rPr>
                <w:rFonts w:ascii="Calibri" w:hAnsi="Calibri" w:eastAsia="Calibri" w:cs="Calibri"/>
                <w:color w:val="auto"/>
                <w:sz w:val="24"/>
              </w:rPr>
              <w:t xml:space="preserve">8</w:t>
            </w:r>
            <w:r>
              <w:rPr>
                <w:rFonts w:ascii="Arial" w:hAnsi="Arial" w:eastAsia="Arial" w:cs="Arial"/>
                <w:color w:val="auto"/>
                <w:sz w:val="24"/>
              </w:rPr>
              <w:t xml:space="preserve">分）</w:t>
            </w:r>
            <w:r>
              <w:rPr>
                <w:color w:val="auto"/>
              </w:rPr>
            </w:r>
            <w:r/>
          </w:p>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4"/>
              </w:rPr>
              <w:t xml:space="preserve">评审内容</w:t>
            </w:r>
            <w:r>
              <w:rPr>
                <w:color w:val="auto"/>
              </w:rPr>
            </w:r>
            <w:r/>
          </w:p>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根据投标人</w:t>
            </w:r>
            <w:r>
              <w:rPr>
                <w:rFonts w:ascii="Arial" w:hAnsi="Arial" w:eastAsia="Arial" w:cs="Arial"/>
                <w:color w:val="auto"/>
                <w:sz w:val="24"/>
              </w:rPr>
              <w:t xml:space="preserve">制作的四个三维模型，包括：</w:t>
            </w:r>
            <w:r>
              <w:rPr>
                <w:color w:val="auto"/>
              </w:rPr>
            </w:r>
            <w:r/>
          </w:p>
          <w:p>
            <w:pPr>
              <w:numPr>
                <w:ilvl w:val="0"/>
                <w:numId w:val="5"/>
              </w:numPr>
              <w:spacing w:before="200" w:after="200"/>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4"/>
              </w:rPr>
              <w:t xml:space="preserve">华东野战军（华野）战士形象</w:t>
            </w:r>
            <w:r>
              <w:rPr>
                <w:color w:val="auto"/>
              </w:rPr>
            </w:r>
            <w:r/>
          </w:p>
          <w:p>
            <w:pPr>
              <w:numPr>
                <w:ilvl w:val="0"/>
                <w:numId w:val="5"/>
              </w:numPr>
              <w:spacing w:before="200" w:after="200"/>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4"/>
              </w:rPr>
              <w:t xml:space="preserve">国民党军士兵形象</w:t>
            </w:r>
            <w:r>
              <w:rPr>
                <w:color w:val="auto"/>
              </w:rPr>
            </w:r>
            <w:r/>
          </w:p>
          <w:p>
            <w:pPr>
              <w:numPr>
                <w:ilvl w:val="0"/>
                <w:numId w:val="5"/>
              </w:numPr>
              <w:spacing w:before="200" w:after="200"/>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4"/>
              </w:rPr>
              <w:t xml:space="preserve">战场场景（须包含典型地貌、战场元素等）</w:t>
            </w:r>
            <w:r>
              <w:rPr>
                <w:color w:val="auto"/>
              </w:rPr>
            </w:r>
            <w:r/>
          </w:p>
          <w:p>
            <w:pPr>
              <w:numPr>
                <w:ilvl w:val="0"/>
                <w:numId w:val="5"/>
              </w:numPr>
              <w:spacing w:before="200" w:after="200"/>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4"/>
              </w:rPr>
              <w:t xml:space="preserve">一种典型武器（如步枪、机枪、手榴弹、炸药包等）</w:t>
            </w:r>
            <w:r>
              <w:rPr>
                <w:color w:val="auto"/>
              </w:rPr>
            </w:r>
            <w:r/>
          </w:p>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4"/>
              </w:rPr>
              <w:t xml:space="preserve"> </w:t>
            </w:r>
            <w:r>
              <w:rPr>
                <w:color w:val="auto"/>
              </w:rPr>
            </w:r>
            <w:r/>
          </w:p>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4"/>
              </w:rPr>
              <w:t xml:space="preserve">评分细则</w:t>
            </w:r>
            <w:r>
              <w:rPr>
                <w:color w:val="auto"/>
              </w:rPr>
            </w:r>
            <w:r/>
          </w:p>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Calibri" w:hAnsi="Calibri" w:eastAsia="Calibri" w:cs="Calibri"/>
                <w:color w:val="auto"/>
                <w:sz w:val="24"/>
              </w:rPr>
              <w:t xml:space="preserve">A</w:t>
            </w:r>
            <w:r>
              <w:rPr>
                <w:rFonts w:ascii="Arial" w:hAnsi="Arial" w:eastAsia="Arial" w:cs="Arial"/>
                <w:color w:val="auto"/>
                <w:sz w:val="24"/>
              </w:rPr>
              <w:t xml:space="preserve">类（</w:t>
            </w:r>
            <w:r>
              <w:rPr>
                <w:rFonts w:ascii="Times New Roman" w:hAnsi="Times New Roman" w:eastAsia="Times New Roman" w:cs="Times New Roman"/>
                <w:color w:val="auto"/>
                <w:sz w:val="24"/>
              </w:rPr>
              <w:t xml:space="preserve">8</w:t>
            </w:r>
            <w:r>
              <w:rPr>
                <w:rFonts w:ascii="Arial" w:hAnsi="Arial" w:eastAsia="Arial" w:cs="Arial"/>
                <w:color w:val="auto"/>
                <w:sz w:val="24"/>
              </w:rPr>
              <w:t xml:space="preserve">分）： 质量优秀</w:t>
            </w:r>
            <w:r>
              <w:rPr>
                <w:color w:val="auto"/>
              </w:rPr>
            </w:r>
            <w:r/>
          </w:p>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4"/>
              </w:rPr>
              <w:t xml:space="preserve">模型在历史还原、细节质感、技术水平及风格统一性上均表现优异。</w:t>
            </w:r>
            <w:r>
              <w:rPr>
                <w:color w:val="auto"/>
              </w:rPr>
            </w:r>
            <w:r/>
          </w:p>
          <w:p>
            <w:pPr>
              <w:numPr>
                <w:ilvl w:val="0"/>
                <w:numId w:val="6"/>
              </w:numPr>
              <w:spacing w:before="200" w:after="200"/>
              <w:rPr>
                <w:color w:val="auto"/>
              </w:rPr>
              <w:pBdr>
                <w:top w:val="none" w:color="000000" w:sz="4" w:space="0"/>
                <w:left w:val="none" w:color="000000" w:sz="4" w:space="0"/>
                <w:bottom w:val="none" w:color="000000" w:sz="4" w:space="0"/>
                <w:right w:val="none" w:color="000000" w:sz="4" w:space="0"/>
              </w:pBdr>
            </w:pPr>
            <w:r>
              <w:rPr>
                <w:rFonts w:ascii="Arial" w:hAnsi="Arial" w:eastAsia="Arial" w:cs="Arial"/>
                <w:b/>
                <w:color w:val="auto"/>
                <w:sz w:val="24"/>
              </w:rPr>
              <w:t xml:space="preserve">历史还原精准</w:t>
            </w:r>
            <w:r>
              <w:rPr>
                <w:rFonts w:ascii="Arial" w:hAnsi="Arial" w:eastAsia="Arial" w:cs="Arial"/>
                <w:color w:val="auto"/>
                <w:sz w:val="24"/>
              </w:rPr>
              <w:t xml:space="preserve">：所有模型（人物服装、装备、武器形制、场景地貌与工事）严格符合淮海战役时期历史资料，细节考证严谨，无史实性错误。</w:t>
            </w:r>
            <w:r>
              <w:rPr>
                <w:color w:val="auto"/>
              </w:rPr>
            </w:r>
            <w:r/>
          </w:p>
          <w:p>
            <w:pPr>
              <w:numPr>
                <w:ilvl w:val="0"/>
                <w:numId w:val="6"/>
              </w:numPr>
              <w:spacing w:before="200" w:after="200"/>
              <w:rPr>
                <w:color w:val="auto"/>
              </w:rPr>
              <w:pBdr>
                <w:top w:val="none" w:color="000000" w:sz="4" w:space="0"/>
                <w:left w:val="none" w:color="000000" w:sz="4" w:space="0"/>
                <w:bottom w:val="none" w:color="000000" w:sz="4" w:space="0"/>
                <w:right w:val="none" w:color="000000" w:sz="4" w:space="0"/>
              </w:pBdr>
            </w:pPr>
            <w:r>
              <w:rPr>
                <w:rFonts w:ascii="Arial" w:hAnsi="Arial" w:eastAsia="Arial" w:cs="Arial"/>
                <w:b/>
                <w:color w:val="auto"/>
                <w:sz w:val="24"/>
              </w:rPr>
              <w:t xml:space="preserve">细节与质感出色</w:t>
            </w:r>
            <w:r>
              <w:rPr>
                <w:rFonts w:ascii="Arial" w:hAnsi="Arial" w:eastAsia="Arial" w:cs="Arial"/>
                <w:color w:val="auto"/>
                <w:sz w:val="24"/>
              </w:rPr>
              <w:t xml:space="preserve">：角色面部表情自然、肢体比例协调；服装褶皱的材质纹理细腻逼真，富有层次感与真实感。</w:t>
            </w:r>
            <w:r>
              <w:rPr>
                <w:color w:val="auto"/>
              </w:rPr>
            </w:r>
            <w:r/>
          </w:p>
          <w:p>
            <w:pPr>
              <w:numPr>
                <w:ilvl w:val="0"/>
                <w:numId w:val="6"/>
              </w:numPr>
              <w:spacing w:before="200" w:after="200"/>
              <w:rPr>
                <w:color w:val="auto"/>
              </w:rPr>
              <w:pBdr>
                <w:top w:val="none" w:color="000000" w:sz="4" w:space="0"/>
                <w:left w:val="none" w:color="000000" w:sz="4" w:space="0"/>
                <w:bottom w:val="none" w:color="000000" w:sz="4" w:space="0"/>
                <w:right w:val="none" w:color="000000" w:sz="4" w:space="0"/>
              </w:pBdr>
            </w:pPr>
            <w:r>
              <w:rPr>
                <w:rFonts w:ascii="Arial" w:hAnsi="Arial" w:eastAsia="Arial" w:cs="Arial"/>
                <w:b/>
                <w:color w:val="auto"/>
                <w:sz w:val="24"/>
              </w:rPr>
              <w:t xml:space="preserve">技术规范完备</w:t>
            </w:r>
            <w:r>
              <w:rPr>
                <w:rFonts w:ascii="Arial" w:hAnsi="Arial" w:eastAsia="Arial" w:cs="Arial"/>
                <w:color w:val="auto"/>
                <w:sz w:val="24"/>
              </w:rPr>
              <w:t xml:space="preserve">：模型拓扑合理，适合动画制作；材质系统（如</w:t>
            </w:r>
            <w:r>
              <w:rPr>
                <w:rFonts w:ascii="Calibri" w:hAnsi="Calibri" w:eastAsia="Calibri" w:cs="Calibri"/>
                <w:color w:val="auto"/>
                <w:sz w:val="24"/>
              </w:rPr>
              <w:t xml:space="preserve">PBR</w:t>
            </w:r>
            <w:r>
              <w:rPr>
                <w:rFonts w:ascii="Arial" w:hAnsi="Arial" w:eastAsia="Arial" w:cs="Arial"/>
                <w:color w:val="auto"/>
                <w:sz w:val="24"/>
              </w:rPr>
              <w:t xml:space="preserve">流程）应用恰当，渲染效果良好。</w:t>
            </w:r>
            <w:r>
              <w:rPr>
                <w:color w:val="auto"/>
              </w:rPr>
            </w:r>
            <w:r/>
          </w:p>
          <w:p>
            <w:pPr>
              <w:numPr>
                <w:ilvl w:val="0"/>
                <w:numId w:val="6"/>
              </w:numPr>
              <w:spacing w:before="200" w:after="200"/>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4"/>
              </w:rPr>
              <w:t xml:space="preserve">风格高度统一：四个模型在美术风格上协调一致，共同构成符合项目要求的写实视觉体系。</w:t>
            </w:r>
            <w:r>
              <w:rPr>
                <w:color w:val="auto"/>
              </w:rPr>
            </w:r>
            <w:r/>
          </w:p>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Calibri" w:hAnsi="Calibri" w:eastAsia="Calibri" w:cs="Calibri"/>
                <w:color w:val="auto"/>
                <w:sz w:val="24"/>
              </w:rPr>
              <w:t xml:space="preserve">B</w:t>
            </w:r>
            <w:r>
              <w:rPr>
                <w:rFonts w:ascii="Arial" w:hAnsi="Arial" w:eastAsia="Arial" w:cs="Arial"/>
                <w:color w:val="auto"/>
                <w:sz w:val="24"/>
              </w:rPr>
              <w:t xml:space="preserve">类（</w:t>
            </w:r>
            <w:r>
              <w:rPr>
                <w:rFonts w:ascii="Times New Roman" w:hAnsi="Times New Roman" w:eastAsia="Times New Roman" w:cs="Times New Roman"/>
                <w:color w:val="auto"/>
                <w:sz w:val="24"/>
              </w:rPr>
              <w:t xml:space="preserve">5</w:t>
            </w:r>
            <w:r>
              <w:rPr>
                <w:rFonts w:ascii="Arial" w:hAnsi="Arial" w:eastAsia="Arial" w:cs="Arial"/>
                <w:color w:val="auto"/>
                <w:sz w:val="24"/>
              </w:rPr>
              <w:t xml:space="preserve">分）</w:t>
            </w:r>
            <w:r>
              <w:rPr>
                <w:color w:val="auto"/>
              </w:rPr>
            </w:r>
            <w:r/>
          </w:p>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4"/>
              </w:rPr>
              <w:t xml:space="preserve">模型整体满足项目基本需求，但在某些方面存在可察觉的不足。</w:t>
            </w:r>
            <w:r>
              <w:rPr>
                <w:color w:val="auto"/>
              </w:rPr>
            </w:r>
            <w:r/>
          </w:p>
          <w:p>
            <w:pPr>
              <w:numPr>
                <w:ilvl w:val="0"/>
                <w:numId w:val="7"/>
              </w:numPr>
              <w:spacing w:before="200" w:after="200"/>
              <w:rPr>
                <w:color w:val="auto"/>
              </w:rPr>
              <w:pBdr>
                <w:top w:val="none" w:color="000000" w:sz="4" w:space="0"/>
                <w:left w:val="none" w:color="000000" w:sz="4" w:space="0"/>
                <w:bottom w:val="none" w:color="000000" w:sz="4" w:space="0"/>
                <w:right w:val="none" w:color="000000" w:sz="4" w:space="0"/>
              </w:pBdr>
            </w:pPr>
            <w:r>
              <w:rPr>
                <w:rFonts w:ascii="Arial" w:hAnsi="Arial" w:eastAsia="Arial" w:cs="Arial"/>
                <w:b/>
                <w:color w:val="auto"/>
                <w:sz w:val="24"/>
              </w:rPr>
              <w:t xml:space="preserve">历史还原基本准确</w:t>
            </w:r>
            <w:r>
              <w:rPr>
                <w:rFonts w:ascii="Arial" w:hAnsi="Arial" w:eastAsia="Arial" w:cs="Arial"/>
                <w:color w:val="auto"/>
                <w:sz w:val="24"/>
              </w:rPr>
              <w:t xml:space="preserve">：主要特征符合历史，但个别细节存在误差或考证不够深入。</w:t>
            </w:r>
            <w:r>
              <w:rPr>
                <w:color w:val="auto"/>
              </w:rPr>
            </w:r>
            <w:r/>
          </w:p>
          <w:p>
            <w:pPr>
              <w:numPr>
                <w:ilvl w:val="0"/>
                <w:numId w:val="7"/>
              </w:numPr>
              <w:spacing w:before="200" w:after="200"/>
              <w:rPr>
                <w:color w:val="auto"/>
              </w:rPr>
              <w:pBdr>
                <w:top w:val="none" w:color="000000" w:sz="4" w:space="0"/>
                <w:left w:val="none" w:color="000000" w:sz="4" w:space="0"/>
                <w:bottom w:val="none" w:color="000000" w:sz="4" w:space="0"/>
                <w:right w:val="none" w:color="000000" w:sz="4" w:space="0"/>
              </w:pBdr>
            </w:pPr>
            <w:r>
              <w:rPr>
                <w:rFonts w:ascii="Arial" w:hAnsi="Arial" w:eastAsia="Arial" w:cs="Arial"/>
                <w:b/>
                <w:color w:val="auto"/>
                <w:sz w:val="24"/>
              </w:rPr>
              <w:t xml:space="preserve">细节与质感良好</w:t>
            </w:r>
            <w:r>
              <w:rPr>
                <w:rFonts w:ascii="Arial" w:hAnsi="Arial" w:eastAsia="Arial" w:cs="Arial"/>
                <w:color w:val="auto"/>
                <w:sz w:val="24"/>
              </w:rPr>
              <w:t xml:space="preserve">：具备必要的细节，但材质质感、纹理精细度或模型复杂度有提升空间，真实感尚可。</w:t>
            </w:r>
            <w:r>
              <w:rPr>
                <w:color w:val="auto"/>
              </w:rPr>
            </w:r>
            <w:r/>
          </w:p>
          <w:p>
            <w:pPr>
              <w:numPr>
                <w:ilvl w:val="0"/>
                <w:numId w:val="7"/>
              </w:numPr>
              <w:spacing w:before="200" w:after="200"/>
              <w:rPr>
                <w:color w:val="auto"/>
              </w:rPr>
              <w:pBdr>
                <w:top w:val="none" w:color="000000" w:sz="4" w:space="0"/>
                <w:left w:val="none" w:color="000000" w:sz="4" w:space="0"/>
                <w:bottom w:val="none" w:color="000000" w:sz="4" w:space="0"/>
                <w:right w:val="none" w:color="000000" w:sz="4" w:space="0"/>
              </w:pBdr>
            </w:pPr>
            <w:r>
              <w:rPr>
                <w:rFonts w:ascii="Arial" w:hAnsi="Arial" w:eastAsia="Arial" w:cs="Arial"/>
                <w:b/>
                <w:color w:val="auto"/>
                <w:sz w:val="24"/>
              </w:rPr>
              <w:t xml:space="preserve">技术规范基本达标</w:t>
            </w:r>
            <w:r>
              <w:rPr>
                <w:rFonts w:ascii="Arial" w:hAnsi="Arial" w:eastAsia="Arial" w:cs="Arial"/>
                <w:color w:val="auto"/>
                <w:sz w:val="24"/>
              </w:rPr>
              <w:t xml:space="preserve">：模型和贴图能满足基本制作要求，但在拓扑结构、贴图分辨率或材质表现上未达到最优。</w:t>
            </w:r>
            <w:r>
              <w:rPr>
                <w:color w:val="auto"/>
              </w:rPr>
            </w:r>
            <w:r/>
          </w:p>
          <w:p>
            <w:pPr>
              <w:numPr>
                <w:ilvl w:val="0"/>
                <w:numId w:val="7"/>
              </w:numPr>
              <w:spacing w:before="200" w:after="200"/>
              <w:rPr>
                <w:color w:val="auto"/>
              </w:rPr>
              <w:pBdr>
                <w:top w:val="none" w:color="000000" w:sz="4" w:space="0"/>
                <w:left w:val="none" w:color="000000" w:sz="4" w:space="0"/>
                <w:bottom w:val="none" w:color="000000" w:sz="4" w:space="0"/>
                <w:right w:val="none" w:color="000000" w:sz="4" w:space="0"/>
              </w:pBdr>
            </w:pPr>
            <w:r>
              <w:rPr>
                <w:rFonts w:ascii="Arial" w:hAnsi="Arial" w:eastAsia="Arial" w:cs="Arial"/>
                <w:b/>
                <w:color w:val="auto"/>
                <w:sz w:val="24"/>
              </w:rPr>
              <w:t xml:space="preserve">风格大体统一</w:t>
            </w:r>
            <w:r>
              <w:rPr>
                <w:rFonts w:ascii="Arial" w:hAnsi="Arial" w:eastAsia="Arial" w:cs="Arial"/>
                <w:color w:val="auto"/>
                <w:sz w:val="24"/>
              </w:rPr>
              <w:t xml:space="preserve">：模型间美术风格无明显冲突，但统一性有待加强。</w:t>
            </w:r>
            <w:r>
              <w:rPr>
                <w:color w:val="auto"/>
              </w:rPr>
            </w:r>
            <w:r/>
          </w:p>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Calibri" w:hAnsi="Calibri" w:eastAsia="Calibri" w:cs="Calibri"/>
                <w:color w:val="auto"/>
                <w:sz w:val="24"/>
              </w:rPr>
              <w:t xml:space="preserve">C</w:t>
            </w:r>
            <w:r>
              <w:rPr>
                <w:rFonts w:ascii="Arial" w:hAnsi="Arial" w:eastAsia="Arial" w:cs="Arial"/>
                <w:color w:val="auto"/>
                <w:sz w:val="24"/>
              </w:rPr>
              <w:t xml:space="preserve">类（</w:t>
            </w:r>
            <w:r>
              <w:rPr>
                <w:rFonts w:ascii="Times New Roman" w:hAnsi="Times New Roman" w:eastAsia="Times New Roman" w:cs="Times New Roman"/>
                <w:color w:val="auto"/>
                <w:sz w:val="24"/>
              </w:rPr>
              <w:t xml:space="preserve">2</w:t>
            </w:r>
            <w:r>
              <w:rPr>
                <w:rFonts w:ascii="Arial" w:hAnsi="Arial" w:eastAsia="Arial" w:cs="Arial"/>
                <w:color w:val="auto"/>
                <w:sz w:val="24"/>
              </w:rPr>
              <w:t xml:space="preserve">分）</w:t>
            </w:r>
            <w:r>
              <w:rPr>
                <w:color w:val="auto"/>
              </w:rPr>
            </w:r>
            <w:r/>
          </w:p>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4"/>
              </w:rPr>
              <w:t xml:space="preserve">模型存在明显缺陷，对项目质量或后续制作可能造成影响。</w:t>
            </w:r>
            <w:r>
              <w:rPr>
                <w:color w:val="auto"/>
              </w:rPr>
            </w:r>
            <w:r/>
          </w:p>
          <w:p>
            <w:pPr>
              <w:numPr>
                <w:ilvl w:val="0"/>
                <w:numId w:val="8"/>
              </w:numPr>
              <w:spacing w:before="200" w:after="200"/>
              <w:rPr>
                <w:color w:val="auto"/>
              </w:rPr>
              <w:pBdr>
                <w:top w:val="none" w:color="000000" w:sz="4" w:space="0"/>
                <w:left w:val="none" w:color="000000" w:sz="4" w:space="0"/>
                <w:bottom w:val="none" w:color="000000" w:sz="4" w:space="0"/>
                <w:right w:val="none" w:color="000000" w:sz="4" w:space="0"/>
              </w:pBdr>
            </w:pPr>
            <w:r>
              <w:rPr>
                <w:rFonts w:ascii="Arial" w:hAnsi="Arial" w:eastAsia="Arial" w:cs="Arial"/>
                <w:b/>
                <w:color w:val="auto"/>
                <w:sz w:val="24"/>
              </w:rPr>
              <w:t xml:space="preserve">历史还原有误</w:t>
            </w:r>
            <w:r>
              <w:rPr>
                <w:rFonts w:ascii="Arial" w:hAnsi="Arial" w:eastAsia="Arial" w:cs="Arial"/>
                <w:color w:val="auto"/>
                <w:sz w:val="24"/>
              </w:rPr>
              <w:t xml:space="preserve">：模型在关键特征上存在与史实不符的错误。</w:t>
            </w:r>
            <w:r>
              <w:rPr>
                <w:color w:val="auto"/>
              </w:rPr>
            </w:r>
            <w:r/>
          </w:p>
          <w:p>
            <w:pPr>
              <w:numPr>
                <w:ilvl w:val="0"/>
                <w:numId w:val="8"/>
              </w:numPr>
              <w:spacing w:before="200" w:after="200"/>
              <w:rPr>
                <w:color w:val="auto"/>
              </w:rPr>
              <w:pBdr>
                <w:top w:val="none" w:color="000000" w:sz="4" w:space="0"/>
                <w:left w:val="none" w:color="000000" w:sz="4" w:space="0"/>
                <w:bottom w:val="none" w:color="000000" w:sz="4" w:space="0"/>
                <w:right w:val="none" w:color="000000" w:sz="4" w:space="0"/>
              </w:pBdr>
            </w:pPr>
            <w:r>
              <w:rPr>
                <w:rFonts w:ascii="Arial" w:hAnsi="Arial" w:eastAsia="Arial" w:cs="Arial"/>
                <w:b/>
                <w:color w:val="auto"/>
                <w:sz w:val="24"/>
              </w:rPr>
              <w:t xml:space="preserve">细节粗糙</w:t>
            </w:r>
            <w:r>
              <w:rPr>
                <w:rFonts w:ascii="Arial" w:hAnsi="Arial" w:eastAsia="Arial" w:cs="Arial"/>
                <w:color w:val="auto"/>
                <w:sz w:val="24"/>
              </w:rPr>
              <w:t xml:space="preserve">：模型结构简单，细节缺失，材质表现单一，缺乏真实感。</w:t>
            </w:r>
            <w:r>
              <w:rPr>
                <w:color w:val="auto"/>
              </w:rPr>
            </w:r>
            <w:r/>
          </w:p>
          <w:p>
            <w:pPr>
              <w:numPr>
                <w:ilvl w:val="0"/>
                <w:numId w:val="8"/>
              </w:numPr>
              <w:spacing w:before="200" w:after="200"/>
              <w:rPr>
                <w:color w:val="auto"/>
              </w:rPr>
              <w:pBdr>
                <w:top w:val="none" w:color="000000" w:sz="4" w:space="0"/>
                <w:left w:val="none" w:color="000000" w:sz="4" w:space="0"/>
                <w:bottom w:val="none" w:color="000000" w:sz="4" w:space="0"/>
                <w:right w:val="none" w:color="000000" w:sz="4" w:space="0"/>
              </w:pBdr>
            </w:pPr>
            <w:r>
              <w:rPr>
                <w:rFonts w:ascii="Arial" w:hAnsi="Arial" w:eastAsia="Arial" w:cs="Arial"/>
                <w:b/>
                <w:color w:val="auto"/>
                <w:sz w:val="24"/>
              </w:rPr>
              <w:t xml:space="preserve">技术规范不达标</w:t>
            </w:r>
            <w:r>
              <w:rPr>
                <w:rFonts w:ascii="Arial" w:hAnsi="Arial" w:eastAsia="Arial" w:cs="Arial"/>
                <w:color w:val="auto"/>
                <w:sz w:val="24"/>
              </w:rPr>
              <w:t xml:space="preserve">：模型或贴图质量较低，难以直接用于高质量的动画制作。</w:t>
            </w:r>
            <w:r>
              <w:rPr>
                <w:color w:val="auto"/>
              </w:rPr>
            </w:r>
            <w:r/>
          </w:p>
          <w:p>
            <w:pPr>
              <w:numPr>
                <w:ilvl w:val="0"/>
                <w:numId w:val="8"/>
              </w:numPr>
              <w:spacing w:before="200" w:after="200"/>
              <w:rPr>
                <w:color w:val="auto"/>
              </w:rPr>
              <w:pBdr>
                <w:top w:val="none" w:color="000000" w:sz="4" w:space="0"/>
                <w:left w:val="none" w:color="000000" w:sz="4" w:space="0"/>
                <w:bottom w:val="none" w:color="000000" w:sz="4" w:space="0"/>
                <w:right w:val="none" w:color="000000" w:sz="4" w:space="0"/>
              </w:pBdr>
            </w:pPr>
            <w:r>
              <w:rPr>
                <w:rFonts w:ascii="Arial" w:hAnsi="Arial" w:eastAsia="Arial" w:cs="Arial"/>
                <w:b/>
                <w:color w:val="auto"/>
                <w:sz w:val="24"/>
              </w:rPr>
              <w:t xml:space="preserve">风格不够统一</w:t>
            </w:r>
            <w:r>
              <w:rPr>
                <w:rFonts w:ascii="Arial" w:hAnsi="Arial" w:eastAsia="Arial" w:cs="Arial"/>
                <w:color w:val="auto"/>
                <w:sz w:val="24"/>
              </w:rPr>
              <w:t xml:space="preserve">：模型间美术风格存在不一致，影响整体视觉协调。</w:t>
            </w:r>
            <w:r>
              <w:rPr>
                <w:color w:val="auto"/>
              </w:rPr>
            </w:r>
            <w:r/>
          </w:p>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Calibri" w:hAnsi="Calibri" w:eastAsia="Calibri" w:cs="Calibri"/>
                <w:color w:val="auto"/>
                <w:sz w:val="24"/>
              </w:rPr>
              <w:t xml:space="preserve">D</w:t>
            </w:r>
            <w:r>
              <w:rPr>
                <w:rFonts w:ascii="Arial" w:hAnsi="Arial" w:eastAsia="Arial" w:cs="Arial"/>
                <w:color w:val="auto"/>
                <w:sz w:val="24"/>
              </w:rPr>
              <w:t xml:space="preserve">类（</w:t>
            </w:r>
            <w:r>
              <w:rPr>
                <w:rFonts w:ascii="Calibri" w:hAnsi="Calibri" w:eastAsia="Calibri" w:cs="Calibri"/>
                <w:color w:val="auto"/>
                <w:sz w:val="24"/>
              </w:rPr>
              <w:t xml:space="preserve">0</w:t>
            </w:r>
            <w:r>
              <w:rPr>
                <w:rFonts w:ascii="Arial" w:hAnsi="Arial" w:eastAsia="Arial" w:cs="Arial"/>
                <w:color w:val="auto"/>
                <w:sz w:val="24"/>
              </w:rPr>
              <w:t xml:space="preserve">分）</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4"/>
              </w:rPr>
              <w:t xml:space="preserve">未提供模型演示，或所提供的模型严重偏离项目基本要求，无法满足项目实施需要。</w:t>
            </w:r>
            <w:r>
              <w:rPr>
                <w:color w:val="auto"/>
              </w:rPr>
            </w:r>
            <w:r/>
          </w:p>
          <w:p>
            <w:pPr>
              <w:ind w:left="0" w:right="0" w:firstLine="0"/>
              <w:spacing w:before="200" w:after="200"/>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tc>
      </w:tr>
      <w:tr>
        <w:trPr>
          <w:trHeight w:val="173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13" w:type="dxa"/>
              <w:top w:w="0" w:type="dxa"/>
              <w:right w:w="113" w:type="dxa"/>
              <w:bottom w:w="0" w:type="dxa"/>
            </w:tcMar>
            <w:tcW w:w="1524" w:type="dxa"/>
            <w:vAlign w:val="center"/>
            <w:vMerge w:val="restart"/>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实施方案</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8</w:t>
            </w:r>
            <w:r>
              <w:rPr>
                <w:rFonts w:ascii="SimSun" w:hAnsi="SimSun" w:eastAsia="SimSun" w:cs="SimSun"/>
                <w:color w:val="auto"/>
                <w:sz w:val="24"/>
              </w:rPr>
              <w:t xml:space="preserve">分）</w:t>
            </w:r>
            <w:r>
              <w:rPr>
                <w:color w:val="auto"/>
              </w:rPr>
            </w:r>
            <w:r/>
          </w:p>
        </w:tc>
        <w:tc>
          <w:tcPr>
            <w:tcBorders>
              <w:top w:val="single" w:color="000000" w:sz="4" w:space="0"/>
              <w:left w:val="single" w:color="000000" w:sz="4" w:space="0"/>
              <w:bottom w:val="single" w:color="000000" w:sz="4" w:space="0"/>
              <w:right w:val="single" w:color="000000" w:sz="4" w:space="0"/>
            </w:tcBorders>
            <w:tcMar>
              <w:left w:w="113" w:type="dxa"/>
              <w:top w:w="0" w:type="dxa"/>
              <w:right w:w="113" w:type="dxa"/>
              <w:bottom w:w="0" w:type="dxa"/>
            </w:tcMar>
            <w:tcW w:w="6510" w:type="dxa"/>
            <w:vAlign w:val="center"/>
            <w:textDirection w:val="lrTb"/>
            <w:noWrap w:val="false"/>
          </w:tcPr>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根据视听设备安装空间设计方案进行综合评审</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进度计划充分考虑采购人需求，安排科学、详细、合理可行，得</w:t>
            </w:r>
            <w:r>
              <w:rPr>
                <w:rFonts w:ascii="Times New Roman" w:hAnsi="Times New Roman" w:eastAsia="Times New Roman" w:cs="Times New Roman"/>
                <w:b/>
                <w:color w:val="auto"/>
                <w:sz w:val="24"/>
              </w:rPr>
              <w:t xml:space="preserve">4</w:t>
            </w:r>
            <w:r>
              <w:rPr>
                <w:rFonts w:ascii="SimSun" w:hAnsi="SimSun" w:eastAsia="SimSun" w:cs="SimSun"/>
                <w:b/>
                <w:color w:val="auto"/>
                <w:sz w:val="24"/>
              </w:rPr>
              <w:t xml:space="preserve">分；</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B </w:t>
            </w:r>
            <w:r>
              <w:rPr>
                <w:rFonts w:ascii="SimSun" w:hAnsi="SimSun" w:eastAsia="SimSun" w:cs="SimSun"/>
                <w:color w:val="auto"/>
                <w:sz w:val="24"/>
              </w:rPr>
              <w:t xml:space="preserve">进度计划安排一般科学、一般详细、一般合理可行，得</w:t>
            </w:r>
            <w:r>
              <w:rPr>
                <w:rFonts w:ascii="Times New Roman" w:hAnsi="Times New Roman" w:eastAsia="Times New Roman" w:cs="Times New Roman"/>
                <w:color w:val="auto"/>
                <w:sz w:val="24"/>
              </w:rPr>
              <w:t xml:space="preserve">2</w:t>
            </w:r>
            <w:r>
              <w:rPr>
                <w:rFonts w:ascii="SimSun" w:hAnsi="SimSun" w:eastAsia="SimSun" w:cs="SimSun"/>
                <w:color w:val="auto"/>
                <w:sz w:val="24"/>
              </w:rPr>
              <w:t xml:space="preserve">分；</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C </w:t>
            </w:r>
            <w:r>
              <w:rPr>
                <w:rFonts w:ascii="SimSun" w:hAnsi="SimSun" w:eastAsia="SimSun" w:cs="SimSun"/>
                <w:color w:val="auto"/>
                <w:sz w:val="24"/>
              </w:rPr>
              <w:t xml:space="preserve">进度计划安排科学性差、详细程度差、合理可行性差，得</w:t>
            </w: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分；</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D </w:t>
            </w:r>
            <w:r>
              <w:rPr>
                <w:rFonts w:ascii="SimSun" w:hAnsi="SimSun" w:eastAsia="SimSun" w:cs="SimSun"/>
                <w:color w:val="auto"/>
                <w:sz w:val="24"/>
              </w:rPr>
              <w:t xml:space="preserve">未提供不得分。</w:t>
            </w:r>
            <w:r>
              <w:rPr>
                <w:color w:val="auto"/>
              </w:rPr>
            </w:r>
            <w:r/>
          </w:p>
        </w:tc>
      </w:tr>
      <w:tr>
        <w:trPr>
          <w:trHeight w:val="161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13" w:type="dxa"/>
              <w:top w:w="0" w:type="dxa"/>
              <w:right w:w="113" w:type="dxa"/>
              <w:bottom w:w="0" w:type="dxa"/>
            </w:tcMar>
            <w:tcW w:w="6510" w:type="dxa"/>
            <w:vAlign w:val="center"/>
            <w:textDirection w:val="lrTb"/>
            <w:noWrap w:val="false"/>
          </w:tcPr>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根据投标人进度计划安排情况进行综合评审。</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A</w:t>
            </w:r>
            <w:r>
              <w:rPr>
                <w:rFonts w:ascii="Times New Roman" w:hAnsi="Times New Roman" w:eastAsia="Times New Roman" w:cs="Times New Roman"/>
                <w:b/>
                <w:color w:val="auto"/>
                <w:sz w:val="24"/>
              </w:rPr>
              <w:t xml:space="preserve"> </w:t>
            </w:r>
            <w:r>
              <w:rPr>
                <w:rFonts w:ascii="SimSun" w:hAnsi="SimSun" w:eastAsia="SimSun" w:cs="SimSun"/>
                <w:b/>
                <w:color w:val="auto"/>
                <w:sz w:val="24"/>
              </w:rPr>
              <w:t xml:space="preserve">进度计划充分考虑采购人需求，安排科学、详细、合理可行，得</w:t>
            </w:r>
            <w:r>
              <w:rPr>
                <w:rFonts w:ascii="Times New Roman" w:hAnsi="Times New Roman" w:eastAsia="Times New Roman" w:cs="Times New Roman"/>
                <w:b/>
                <w:color w:val="auto"/>
                <w:sz w:val="24"/>
              </w:rPr>
              <w:t xml:space="preserve">4</w:t>
            </w:r>
            <w:r>
              <w:rPr>
                <w:rFonts w:ascii="SimSun" w:hAnsi="SimSun" w:eastAsia="SimSun" w:cs="SimSun"/>
                <w:b/>
                <w:color w:val="auto"/>
                <w:sz w:val="24"/>
              </w:rPr>
              <w:t xml:space="preserve">分；</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B </w:t>
            </w:r>
            <w:r>
              <w:rPr>
                <w:rFonts w:ascii="SimSun" w:hAnsi="SimSun" w:eastAsia="SimSun" w:cs="SimSun"/>
                <w:color w:val="auto"/>
                <w:sz w:val="24"/>
              </w:rPr>
              <w:t xml:space="preserve">进度计划安排一般科学、一般详细、一般合理可行，得</w:t>
            </w:r>
            <w:r>
              <w:rPr>
                <w:rFonts w:ascii="Times New Roman" w:hAnsi="Times New Roman" w:eastAsia="Times New Roman" w:cs="Times New Roman"/>
                <w:color w:val="auto"/>
                <w:sz w:val="24"/>
              </w:rPr>
              <w:t xml:space="preserve">2</w:t>
            </w:r>
            <w:r>
              <w:rPr>
                <w:rFonts w:ascii="SimSun" w:hAnsi="SimSun" w:eastAsia="SimSun" w:cs="SimSun"/>
                <w:color w:val="auto"/>
                <w:sz w:val="24"/>
              </w:rPr>
              <w:t xml:space="preserve">分；</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C </w:t>
            </w:r>
            <w:r>
              <w:rPr>
                <w:rFonts w:ascii="SimSun" w:hAnsi="SimSun" w:eastAsia="SimSun" w:cs="SimSun"/>
                <w:color w:val="auto"/>
                <w:sz w:val="24"/>
              </w:rPr>
              <w:t xml:space="preserve">进度计划安排科学性差、详细程度差、合理可行性差，得</w:t>
            </w: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分；</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D </w:t>
            </w:r>
            <w:r>
              <w:rPr>
                <w:rFonts w:ascii="SimSun" w:hAnsi="SimSun" w:eastAsia="SimSun" w:cs="SimSun"/>
                <w:color w:val="auto"/>
                <w:sz w:val="24"/>
              </w:rPr>
              <w:t xml:space="preserve">未提供不得分。</w:t>
            </w:r>
            <w:r>
              <w:rPr>
                <w:color w:val="auto"/>
              </w:rPr>
            </w:r>
            <w:r/>
          </w:p>
        </w:tc>
      </w:tr>
      <w:tr>
        <w:trPr>
          <w:trHeight w:val="474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13" w:type="dxa"/>
              <w:top w:w="0" w:type="dxa"/>
              <w:right w:w="113" w:type="dxa"/>
              <w:bottom w:w="0" w:type="dxa"/>
            </w:tcMar>
            <w:tcW w:w="1524"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售后服务</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6</w:t>
            </w:r>
            <w:r>
              <w:rPr>
                <w:rFonts w:ascii="SimSun" w:hAnsi="SimSun" w:eastAsia="SimSun" w:cs="SimSun"/>
                <w:color w:val="auto"/>
                <w:sz w:val="24"/>
              </w:rPr>
              <w:t xml:space="preserve">分）</w:t>
            </w:r>
            <w:r>
              <w:rPr>
                <w:color w:val="auto"/>
              </w:rPr>
            </w:r>
            <w:r/>
          </w:p>
        </w:tc>
        <w:tc>
          <w:tcPr>
            <w:tcBorders>
              <w:top w:val="single" w:color="000000" w:sz="4" w:space="0"/>
              <w:left w:val="single" w:color="000000" w:sz="4" w:space="0"/>
              <w:bottom w:val="single" w:color="000000" w:sz="4" w:space="0"/>
              <w:right w:val="single" w:color="000000" w:sz="4" w:space="0"/>
            </w:tcBorders>
            <w:tcMar>
              <w:left w:w="113" w:type="dxa"/>
              <w:top w:w="0" w:type="dxa"/>
              <w:right w:w="113" w:type="dxa"/>
              <w:bottom w:w="0" w:type="dxa"/>
            </w:tcMar>
            <w:tcW w:w="6510" w:type="dxa"/>
            <w:vAlign w:val="center"/>
            <w:textDirection w:val="lrTb"/>
            <w:noWrap w:val="false"/>
          </w:tcPr>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根据投标人提供的售后服务方案情况进行评审。</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A</w:t>
            </w:r>
            <w:r>
              <w:rPr>
                <w:rFonts w:ascii="SimSun" w:hAnsi="SimSun" w:eastAsia="SimSun" w:cs="SimSun"/>
                <w:color w:val="auto"/>
                <w:sz w:val="24"/>
              </w:rPr>
              <w:t xml:space="preserve">类（</w:t>
            </w:r>
            <w:r>
              <w:rPr>
                <w:rFonts w:ascii="Times New Roman" w:hAnsi="Times New Roman" w:eastAsia="Times New Roman" w:cs="Times New Roman"/>
                <w:color w:val="auto"/>
                <w:sz w:val="24"/>
              </w:rPr>
              <w:t xml:space="preserve">6</w:t>
            </w:r>
            <w:r>
              <w:rPr>
                <w:rFonts w:ascii="SimSun" w:hAnsi="SimSun" w:eastAsia="SimSun" w:cs="SimSun"/>
                <w:color w:val="auto"/>
                <w:sz w:val="24"/>
              </w:rPr>
              <w:t xml:space="preserve">分）</w:t>
              <w:br/>
              <w:t xml:space="preserve">服务方案全面、专业、可操作性极强，明确承诺在接到现场维修需求后</w:t>
            </w:r>
            <w:r>
              <w:rPr>
                <w:rFonts w:ascii="Times New Roman" w:hAnsi="Times New Roman" w:eastAsia="Times New Roman" w:cs="Times New Roman"/>
                <w:color w:val="auto"/>
                <w:sz w:val="24"/>
              </w:rPr>
              <w:t xml:space="preserve">30</w:t>
            </w:r>
            <w:r>
              <w:rPr>
                <w:rFonts w:ascii="SimSun" w:hAnsi="SimSun" w:eastAsia="SimSun" w:cs="SimSun"/>
                <w:color w:val="auto"/>
                <w:sz w:val="24"/>
              </w:rPr>
              <w:t xml:space="preserve">分钟内技术人员抵达用户现场（需在服务承诺函中加盖公章明确承诺）。</w:t>
              <w:br/>
              <w:t xml:space="preserve">同时完全满足或优于招标文件所列全部售后要求，包括：提供</w:t>
            </w:r>
            <w:r>
              <w:rPr>
                <w:rFonts w:ascii="Times New Roman" w:hAnsi="Times New Roman" w:eastAsia="Times New Roman" w:cs="Times New Roman"/>
                <w:color w:val="auto"/>
                <w:sz w:val="24"/>
              </w:rPr>
              <w:t xml:space="preserve">12</w:t>
            </w:r>
            <w:r>
              <w:rPr>
                <w:rFonts w:ascii="SimSun" w:hAnsi="SimSun" w:eastAsia="SimSun" w:cs="SimSun"/>
                <w:color w:val="auto"/>
                <w:sz w:val="24"/>
              </w:rPr>
              <w:t xml:space="preserve">个月以上质保、</w:t>
            </w:r>
            <w:r>
              <w:rPr>
                <w:rFonts w:ascii="Times New Roman" w:hAnsi="Times New Roman" w:eastAsia="Times New Roman" w:cs="Times New Roman"/>
                <w:color w:val="auto"/>
                <w:sz w:val="24"/>
              </w:rPr>
              <w:t xml:space="preserve">7</w:t>
            </w: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24</w:t>
            </w:r>
            <w:r>
              <w:rPr>
                <w:rFonts w:ascii="SimSun" w:hAnsi="SimSun" w:eastAsia="SimSun" w:cs="SimSun"/>
                <w:color w:val="auto"/>
                <w:sz w:val="24"/>
              </w:rPr>
              <w:t xml:space="preserve">小时技术支持、半小时内提出修复计划、</w:t>
            </w:r>
            <w:r>
              <w:rPr>
                <w:rFonts w:ascii="Times New Roman" w:hAnsi="Times New Roman" w:eastAsia="Times New Roman" w:cs="Times New Roman"/>
                <w:color w:val="auto"/>
                <w:sz w:val="24"/>
              </w:rPr>
              <w:t xml:space="preserve">48</w:t>
            </w:r>
            <w:r>
              <w:rPr>
                <w:rFonts w:ascii="SimSun" w:hAnsi="SimSun" w:eastAsia="SimSun" w:cs="SimSun"/>
                <w:color w:val="auto"/>
                <w:sz w:val="24"/>
              </w:rPr>
              <w:t xml:space="preserve">小时内解决问题、质保期后同等质量服务、半个月免费面授培训等。人员资质（如本地社保）等各项保障措施具体、可靠。</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B</w:t>
            </w:r>
            <w:r>
              <w:rPr>
                <w:rFonts w:ascii="SimSun" w:hAnsi="SimSun" w:eastAsia="SimSun" w:cs="SimSun"/>
                <w:color w:val="auto"/>
                <w:sz w:val="24"/>
              </w:rPr>
              <w:t xml:space="preserve">类（</w:t>
            </w:r>
            <w:r>
              <w:rPr>
                <w:rFonts w:ascii="Times New Roman" w:hAnsi="Times New Roman" w:eastAsia="Times New Roman" w:cs="Times New Roman"/>
                <w:color w:val="auto"/>
                <w:sz w:val="24"/>
              </w:rPr>
              <w:t xml:space="preserve">4</w:t>
            </w:r>
            <w:r>
              <w:rPr>
                <w:rFonts w:ascii="SimSun" w:hAnsi="SimSun" w:eastAsia="SimSun" w:cs="SimSun"/>
                <w:color w:val="auto"/>
                <w:sz w:val="24"/>
              </w:rPr>
              <w:t xml:space="preserve">分）</w:t>
              <w:br/>
              <w:t xml:space="preserve">服务方案基本完整，能满足招标文件主要售后要求，承诺的响应时间（如</w:t>
            </w:r>
            <w:r>
              <w:rPr>
                <w:rFonts w:ascii="Times New Roman" w:hAnsi="Times New Roman" w:eastAsia="Times New Roman" w:cs="Times New Roman"/>
                <w:color w:val="auto"/>
                <w:sz w:val="24"/>
              </w:rPr>
              <w:t xml:space="preserve">6</w:t>
            </w:r>
            <w:r>
              <w:rPr>
                <w:rFonts w:ascii="SimSun" w:hAnsi="SimSun" w:eastAsia="SimSun" w:cs="SimSun"/>
                <w:color w:val="auto"/>
                <w:sz w:val="24"/>
              </w:rPr>
              <w:t xml:space="preserve">小时内到场）符合基本要求但未突出优势。各项保障措施齐全，但在方案细节、人员保障或长期服务承诺上不够完善。</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C</w:t>
            </w:r>
            <w:r>
              <w:rPr>
                <w:rFonts w:ascii="SimSun" w:hAnsi="SimSun" w:eastAsia="SimSun" w:cs="SimSun"/>
                <w:color w:val="auto"/>
                <w:sz w:val="24"/>
              </w:rPr>
              <w:t xml:space="preserve">类（</w:t>
            </w:r>
            <w:r>
              <w:rPr>
                <w:rFonts w:ascii="Times New Roman" w:hAnsi="Times New Roman" w:eastAsia="Times New Roman" w:cs="Times New Roman"/>
                <w:color w:val="auto"/>
                <w:sz w:val="24"/>
              </w:rPr>
              <w:t xml:space="preserve">2</w:t>
            </w:r>
            <w:r>
              <w:rPr>
                <w:rFonts w:ascii="SimSun" w:hAnsi="SimSun" w:eastAsia="SimSun" w:cs="SimSun"/>
                <w:color w:val="auto"/>
                <w:sz w:val="24"/>
              </w:rPr>
              <w:t xml:space="preserve">分）</w:t>
              <w:br/>
              <w:t xml:space="preserve">服务方案内容简单，仅能部分满足售后要求，承诺的响应时间与保障措施（如人员资质、培训计划等）存在缺失或模糊，整体可行性一般。</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D</w:t>
            </w:r>
            <w:r>
              <w:rPr>
                <w:rFonts w:ascii="SimSun" w:hAnsi="SimSun" w:eastAsia="SimSun" w:cs="SimSun"/>
                <w:color w:val="auto"/>
                <w:sz w:val="24"/>
              </w:rPr>
              <w:t xml:space="preserve">类（</w:t>
            </w:r>
            <w:r>
              <w:rPr>
                <w:rFonts w:ascii="Times New Roman" w:hAnsi="Times New Roman" w:eastAsia="Times New Roman" w:cs="Times New Roman"/>
                <w:color w:val="auto"/>
                <w:sz w:val="24"/>
              </w:rPr>
              <w:t xml:space="preserve">0</w:t>
            </w:r>
            <w:r>
              <w:rPr>
                <w:rFonts w:ascii="SimSun" w:hAnsi="SimSun" w:eastAsia="SimSun" w:cs="SimSun"/>
                <w:color w:val="auto"/>
                <w:sz w:val="24"/>
              </w:rPr>
              <w:t xml:space="preserve">分）</w:t>
              <w:br/>
              <w:t xml:space="preserve">未提供售后服务方案，或方案完全不符合项目基本要求。</w:t>
            </w:r>
            <w:r>
              <w:rPr>
                <w:color w:val="auto"/>
              </w:rPr>
            </w:r>
            <w:r/>
          </w:p>
        </w:tc>
      </w:tr>
    </w:tbl>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本章说明：</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（一）本项目采用综合评分法。</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（二）采购人有权对中标人以上内容进行复核</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如发现存在弄虚作假或其它不符招标文件要求的行为，将取消中标资格。</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pStyle w:val="658"/>
        <w:ind w:left="0" w:right="0" w:firstLine="0"/>
        <w:jc w:val="center"/>
        <w:spacing w:before="0" w:after="0" w:line="54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rPr>
        <w:t xml:space="preserve">第五章 拟签订的合同文本</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项目名称：淮海战役3D动画制作与配套设施建设</w:t>
      </w:r>
      <w:r>
        <w:rPr>
          <w:color w:val="auto"/>
        </w:rPr>
      </w:r>
      <w:r/>
    </w:p>
    <w:p>
      <w:pPr>
        <w:ind w:left="0" w:right="0" w:firstLine="0"/>
        <w:jc w:val="both"/>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项目编号：</w:t>
      </w:r>
      <w:r>
        <w:rPr>
          <w:color w:val="auto"/>
        </w:rPr>
      </w:r>
      <w:r/>
    </w:p>
    <w:p>
      <w:pPr>
        <w:ind w:left="0" w:right="0" w:firstLine="0"/>
        <w:jc w:val="center"/>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52"/>
        </w:rPr>
        <w:t xml:space="preserve">政</w:t>
      </w:r>
      <w:r>
        <w:rPr>
          <w:color w:val="auto"/>
        </w:rPr>
      </w:r>
      <w:r/>
    </w:p>
    <w:p>
      <w:pPr>
        <w:ind w:left="0" w:right="0" w:firstLine="0"/>
        <w:jc w:val="center"/>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52"/>
        </w:rPr>
        <w:t xml:space="preserve">府</w:t>
      </w:r>
      <w:r>
        <w:rPr>
          <w:color w:val="auto"/>
        </w:rPr>
      </w:r>
      <w:r/>
    </w:p>
    <w:p>
      <w:pPr>
        <w:ind w:left="0" w:right="0" w:firstLine="0"/>
        <w:jc w:val="center"/>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52"/>
        </w:rPr>
        <w:t xml:space="preserve">采</w:t>
      </w:r>
      <w:r>
        <w:rPr>
          <w:color w:val="auto"/>
        </w:rPr>
      </w:r>
      <w:r/>
    </w:p>
    <w:p>
      <w:pPr>
        <w:ind w:left="0" w:right="0" w:firstLine="0"/>
        <w:jc w:val="center"/>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52"/>
        </w:rPr>
        <w:t xml:space="preserve">购</w:t>
      </w:r>
      <w:r>
        <w:rPr>
          <w:color w:val="auto"/>
        </w:rPr>
      </w:r>
      <w:r/>
    </w:p>
    <w:p>
      <w:pPr>
        <w:ind w:left="0" w:right="0" w:firstLine="0"/>
        <w:jc w:val="center"/>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52"/>
        </w:rPr>
        <w:t xml:space="preserve">合</w:t>
      </w:r>
      <w:r>
        <w:rPr>
          <w:color w:val="auto"/>
        </w:rPr>
      </w:r>
      <w:r/>
    </w:p>
    <w:p>
      <w:pPr>
        <w:ind w:left="0" w:right="0" w:firstLine="0"/>
        <w:jc w:val="center"/>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52"/>
        </w:rPr>
        <w:t xml:space="preserve">同</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合同签订日期： 年 月 日</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友情提醒：采购人与中标、成交供应商应当在中标、成交通知书发出之日起三十日内，按照采购文件确定的事项签订政府采购合同。</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rPr>
          <w:color w:val="auto"/>
        </w:rPr>
      </w:r>
      <w:r/>
    </w:p>
    <w:p>
      <w:pPr>
        <w:pStyle w:val="660"/>
        <w:ind w:left="0" w:right="0" w:firstLine="0"/>
        <w:jc w:val="center"/>
        <w:spacing w:before="0" w:after="0" w:line="55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32"/>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32"/>
        </w:rPr>
        <w:t xml:space="preserve"> </w:t>
      </w:r>
      <w:r>
        <w:rPr>
          <w:color w:val="auto"/>
        </w:rPr>
      </w:r>
      <w:r/>
    </w:p>
    <w:p>
      <w:pPr>
        <w:pStyle w:val="664"/>
        <w:ind w:left="0" w:right="0" w:firstLine="0"/>
        <w:jc w:val="center"/>
        <w:spacing w:before="320" w:after="200" w:line="312"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32"/>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32"/>
        </w:rPr>
        <w:t xml:space="preserve"> </w:t>
      </w:r>
      <w:r>
        <w:rPr>
          <w:color w:val="auto"/>
        </w:rPr>
      </w:r>
      <w:r/>
    </w:p>
    <w:p>
      <w:pPr>
        <w:pStyle w:val="664"/>
        <w:ind w:left="0" w:right="0" w:firstLine="0"/>
        <w:jc w:val="center"/>
        <w:spacing w:before="320" w:after="200" w:line="312"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32"/>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b/>
          <w:color w:val="auto"/>
          <w:sz w:val="32"/>
        </w:rPr>
        <w:t xml:space="preserve"> </w:t>
      </w:r>
      <w:r>
        <w:rPr>
          <w:color w:val="auto"/>
        </w:rPr>
      </w:r>
      <w:r/>
    </w:p>
    <w:p>
      <w:pPr>
        <w:ind w:left="0" w:right="0" w:firstLine="0"/>
        <w:spacing w:before="0" w:after="100" w:line="55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甲方：淮海战役烈士纪念塔管理中心</w:t>
      </w:r>
      <w:r>
        <w:rPr>
          <w:color w:val="auto"/>
        </w:rPr>
      </w:r>
      <w:r/>
    </w:p>
    <w:p>
      <w:pPr>
        <w:ind w:left="0" w:right="0" w:firstLine="0"/>
        <w:spacing w:before="0" w:after="100" w:line="55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乙方：</w:t>
      </w:r>
      <w:r>
        <w:rPr>
          <w:color w:val="auto"/>
        </w:rPr>
      </w:r>
      <w:r/>
    </w:p>
    <w:p>
      <w:pPr>
        <w:ind w:left="0" w:right="0" w:firstLine="560"/>
        <w:spacing w:before="0" w:after="100" w:line="55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甲乙双方经平等协商，根据《中华人民共和国著作权法》、《中华人民共和国民法典》有关规定及国家有关法律法规，订立借展协议如下，并共同遵守。</w:t>
      </w:r>
      <w:r>
        <w:rPr>
          <w:color w:val="auto"/>
        </w:rPr>
      </w:r>
      <w:r/>
    </w:p>
    <w:p>
      <w:pPr>
        <w:ind w:left="0" w:right="0" w:firstLine="560"/>
        <w:spacing w:before="0" w:after="100" w:line="559" w:lineRule="atLeast"/>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rPr>
        <w:t xml:space="preserve">第一条 项目内容与交付成果</w:t>
      </w:r>
      <w:r>
        <w:rPr>
          <w:color w:val="auto"/>
        </w:rPr>
      </w:r>
      <w:r/>
    </w:p>
    <w:p>
      <w:pPr>
        <w:ind w:left="0" w:right="0" w:firstLine="560"/>
        <w:spacing w:before="0" w:after="100" w:line="55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1.1 项目名称：淮海战役3D动画制作及配套设施</w:t>
      </w:r>
      <w:r>
        <w:rPr>
          <w:color w:val="auto"/>
        </w:rPr>
      </w:r>
      <w:r/>
    </w:p>
    <w:p>
      <w:pPr>
        <w:ind w:left="0" w:right="0" w:firstLine="560"/>
        <w:spacing w:before="0" w:after="100" w:line="55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1.2 服务内容及交付成果：乙方应根据《淮海战役3D动画制作与配套设施建设》项目招标文件（以下简称“招标文件”）及乙方投标文件中所列明的全部要求，完成以下工作并提供交付成果：</w:t>
      </w:r>
      <w:r>
        <w:rPr>
          <w:color w:val="auto"/>
        </w:rPr>
      </w:r>
      <w:r/>
    </w:p>
    <w:p>
      <w:pPr>
        <w:ind w:left="0" w:right="0" w:firstLine="560"/>
        <w:spacing w:before="0" w:after="100" w:line="55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(1) </w:t>
      </w:r>
      <w:r>
        <w:rPr>
          <w:rFonts w:ascii="FangSong" w:hAnsi="FangSong" w:eastAsia="FangSong" w:cs="FangSong"/>
          <w:b/>
          <w:color w:val="auto"/>
          <w:sz w:val="28"/>
        </w:rPr>
        <w:t xml:space="preserve">3D动画影片制作</w:t>
      </w:r>
      <w:r>
        <w:rPr>
          <w:rFonts w:ascii="FangSong" w:hAnsi="FangSong" w:eastAsia="FangSong" w:cs="FangSong"/>
          <w:color w:val="auto"/>
          <w:sz w:val="28"/>
        </w:rPr>
        <w:t xml:space="preserve">：制作完成1部时长20分钟4K高清的淮海战役题材3D动画影片，具体技术标准包括但不限于：</w:t>
      </w:r>
      <w:r>
        <w:rPr>
          <w:color w:val="auto"/>
        </w:rPr>
      </w:r>
      <w:r/>
    </w:p>
    <w:p>
      <w:pPr>
        <w:numPr>
          <w:ilvl w:val="0"/>
          <w:numId w:val="9"/>
        </w:numPr>
        <w:spacing w:before="0" w:after="100" w:line="55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分辨率：4K UHD (3840×2160)；</w:t>
      </w:r>
      <w:r>
        <w:rPr>
          <w:color w:val="auto"/>
        </w:rPr>
      </w:r>
      <w:r/>
    </w:p>
    <w:p>
      <w:pPr>
        <w:numPr>
          <w:ilvl w:val="0"/>
          <w:numId w:val="9"/>
        </w:numPr>
        <w:spacing w:before="0" w:after="100" w:line="55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帧率：30帧/秒；</w:t>
      </w:r>
      <w:r>
        <w:rPr>
          <w:color w:val="auto"/>
        </w:rPr>
      </w:r>
      <w:r/>
    </w:p>
    <w:p>
      <w:pPr>
        <w:numPr>
          <w:ilvl w:val="0"/>
          <w:numId w:val="9"/>
        </w:numPr>
        <w:spacing w:before="0" w:after="100" w:line="55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编码：H.265/HEVC Main 10 @ L5.1；</w:t>
      </w:r>
      <w:r>
        <w:rPr>
          <w:color w:val="auto"/>
        </w:rPr>
      </w:r>
      <w:r/>
    </w:p>
    <w:p>
      <w:pPr>
        <w:numPr>
          <w:ilvl w:val="0"/>
          <w:numId w:val="9"/>
        </w:numPr>
        <w:spacing w:before="0" w:after="100" w:line="55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色深：10bit，支持HDR；</w:t>
      </w:r>
      <w:r>
        <w:rPr>
          <w:color w:val="auto"/>
        </w:rPr>
      </w:r>
      <w:r/>
    </w:p>
    <w:p>
      <w:pPr>
        <w:numPr>
          <w:ilvl w:val="0"/>
          <w:numId w:val="9"/>
        </w:numPr>
        <w:spacing w:before="0" w:after="100" w:line="55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色域：DCI-P3；</w:t>
      </w:r>
      <w:r>
        <w:rPr>
          <w:color w:val="auto"/>
        </w:rPr>
      </w:r>
      <w:r/>
    </w:p>
    <w:p>
      <w:pPr>
        <w:numPr>
          <w:ilvl w:val="0"/>
          <w:numId w:val="9"/>
        </w:numPr>
        <w:spacing w:before="0" w:after="100" w:line="55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音频：Dolby Atmos / DTS:X，7.1.4声道，无损编码；</w:t>
      </w:r>
      <w:r>
        <w:rPr>
          <w:color w:val="auto"/>
        </w:rPr>
      </w:r>
      <w:r/>
    </w:p>
    <w:p>
      <w:pPr>
        <w:numPr>
          <w:ilvl w:val="0"/>
          <w:numId w:val="9"/>
        </w:numPr>
        <w:spacing w:before="0" w:after="100" w:line="55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服务流程：涵盖剧本编写、导演执导、编剧创意、3D建模、动画制作、特效渲染、配音与音效设计等全环节。</w:t>
      </w:r>
      <w:r>
        <w:rPr>
          <w:color w:val="auto"/>
        </w:rPr>
      </w:r>
      <w:r/>
    </w:p>
    <w:p>
      <w:pPr>
        <w:ind w:left="0" w:right="0" w:firstLine="560"/>
        <w:spacing w:before="0" w:after="100" w:line="55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(2) </w:t>
      </w:r>
      <w:r>
        <w:rPr>
          <w:rFonts w:ascii="FangSong" w:hAnsi="FangSong" w:eastAsia="FangSong" w:cs="FangSong"/>
          <w:b/>
          <w:color w:val="auto"/>
          <w:sz w:val="28"/>
        </w:rPr>
        <w:t xml:space="preserve">配套设施建设</w:t>
      </w:r>
      <w:r>
        <w:rPr>
          <w:rFonts w:ascii="FangSong" w:hAnsi="FangSong" w:eastAsia="FangSong" w:cs="FangSong"/>
          <w:color w:val="auto"/>
          <w:sz w:val="28"/>
        </w:rPr>
        <w:t xml:space="preserve">：提供并安装招标文件第五部分“采购需求”中列明的全部硬件设备及辅材，包括但不限于弧形金属幕布、投影机、镜头、音频系统（解码器、各类扬声器、功率放大器等）、融合器、时序电源管理器等，并完成所有设备的集成、调试工作。</w:t>
      </w:r>
      <w:r>
        <w:rPr>
          <w:color w:val="auto"/>
        </w:rPr>
      </w:r>
      <w:r/>
    </w:p>
    <w:p>
      <w:pPr>
        <w:ind w:left="0" w:right="0" w:firstLine="560"/>
        <w:spacing w:before="0" w:after="100" w:line="55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(3) </w:t>
      </w:r>
      <w:r>
        <w:rPr>
          <w:rFonts w:ascii="FangSong" w:hAnsi="FangSong" w:eastAsia="FangSong" w:cs="FangSong"/>
          <w:b/>
          <w:color w:val="auto"/>
          <w:sz w:val="28"/>
        </w:rPr>
        <w:t xml:space="preserve">设计方案</w:t>
      </w:r>
      <w:r>
        <w:rPr>
          <w:rFonts w:ascii="FangSong" w:hAnsi="FangSong" w:eastAsia="FangSong" w:cs="FangSong"/>
          <w:color w:val="auto"/>
          <w:sz w:val="28"/>
        </w:rPr>
        <w:t xml:space="preserve">：提供一套完整的《视听设备安装空间设计方案》，该方案须基于甲方现场实际情况设计，内容应涵盖平面布局图、功能分区图、动线分析图、鸟瞰图及关键节点设计方案与效果图。</w:t>
      </w:r>
      <w:r>
        <w:rPr>
          <w:color w:val="auto"/>
        </w:rPr>
      </w:r>
      <w:r/>
    </w:p>
    <w:p>
      <w:pPr>
        <w:ind w:left="0" w:right="0" w:firstLine="560"/>
        <w:spacing w:before="0" w:after="100" w:line="55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1.3 乙方应确保其交付的所有成果，包括但不限于影片、软件、硬件设备及设计方案，均符合招标文件及本合同约定的技术、性能及质量要求。</w:t>
      </w:r>
      <w:r>
        <w:rPr>
          <w:color w:val="auto"/>
        </w:rPr>
      </w:r>
      <w:r/>
    </w:p>
    <w:p>
      <w:pPr>
        <w:ind w:left="0" w:right="0" w:firstLine="560"/>
        <w:spacing w:before="0" w:after="100" w:line="559" w:lineRule="atLeast"/>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rPr>
        <w:t xml:space="preserve">第二条 项目周期与交付进度</w:t>
      </w:r>
      <w:r>
        <w:rPr>
          <w:color w:val="auto"/>
        </w:rPr>
      </w:r>
      <w:r/>
    </w:p>
    <w:p>
      <w:pPr>
        <w:ind w:left="0" w:right="0" w:firstLine="560"/>
        <w:spacing w:before="0" w:after="100" w:line="55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2.1 本合同签订后</w:t>
      </w:r>
      <w:r>
        <w:rPr>
          <w:rFonts w:ascii="FangSong" w:hAnsi="FangSong" w:eastAsia="FangSong" w:cs="FangSong"/>
          <w:color w:val="auto"/>
          <w:sz w:val="28"/>
          <w:u w:val="single"/>
        </w:rPr>
        <w:t xml:space="preserve">    210天   </w:t>
      </w:r>
      <w:r>
        <w:rPr>
          <w:rFonts w:ascii="FangSong" w:hAnsi="FangSong" w:eastAsia="FangSong" w:cs="FangSong"/>
          <w:color w:val="auto"/>
          <w:sz w:val="28"/>
        </w:rPr>
        <w:t xml:space="preserve">内，乙方应完成全部设备的交付、安装、调试，以及3D动画影片的制作，并使整个系统达到验收标准。</w:t>
      </w:r>
      <w:r>
        <w:rPr>
          <w:color w:val="auto"/>
        </w:rPr>
      </w:r>
      <w:r/>
    </w:p>
    <w:p>
      <w:pPr>
        <w:ind w:left="0" w:right="0" w:firstLine="560"/>
        <w:spacing w:before="0" w:after="100" w:line="55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2.2 乙方专业编导编写3D动画电影剧本应在签订合同</w:t>
      </w:r>
      <w:r>
        <w:rPr>
          <w:rFonts w:ascii="FangSong" w:hAnsi="FangSong" w:eastAsia="FangSong" w:cs="FangSong"/>
          <w:color w:val="auto"/>
          <w:sz w:val="28"/>
          <w:u w:val="single"/>
        </w:rPr>
        <w:t xml:space="preserve">70天</w:t>
      </w:r>
      <w:r>
        <w:rPr>
          <w:rFonts w:ascii="FangSong" w:hAnsi="FangSong" w:eastAsia="FangSong" w:cs="FangSong"/>
          <w:color w:val="auto"/>
          <w:sz w:val="28"/>
        </w:rPr>
        <w:t xml:space="preserve">内完成，剧本须经甲方书面认可。</w:t>
      </w:r>
      <w:r>
        <w:rPr>
          <w:color w:val="auto"/>
        </w:rPr>
      </w:r>
      <w:r/>
    </w:p>
    <w:p>
      <w:pPr>
        <w:ind w:left="0" w:right="0" w:firstLine="560"/>
        <w:spacing w:before="0" w:after="100" w:line="55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2.3 如遇不可抗力或甲方提出的必要变更，经甲方书面同意后，工期可相应顺延。</w:t>
      </w:r>
      <w:r>
        <w:rPr>
          <w:color w:val="auto"/>
        </w:rPr>
      </w:r>
      <w:r/>
    </w:p>
    <w:p>
      <w:pPr>
        <w:ind w:left="0" w:right="0" w:firstLine="280"/>
        <w:spacing w:before="0" w:after="100" w:line="559" w:lineRule="atLeast"/>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rPr>
        <w:t xml:space="preserve">第三条 履约保证金：</w:t>
      </w:r>
      <w:r>
        <w:rPr>
          <w:rFonts w:ascii="FangSong" w:hAnsi="FangSong" w:eastAsia="FangSong" w:cs="FangSong"/>
          <w:color w:val="auto"/>
          <w:sz w:val="28"/>
        </w:rPr>
        <w:t xml:space="preserve">签订合同前，乙方应向甲方缴纳成交金额10%的履约保证金，以支票、汇票、本票或者金融机构、担保机构出具的保函等非现金形式缴纳。履约保证金在乙方按合同安装调试完毕，设备试运行完成后，最终验收合格后，经双方书面确认无责任纠纷，15个工作日无息退还。</w:t>
      </w:r>
      <w:r>
        <w:rPr>
          <w:color w:val="auto"/>
        </w:rPr>
      </w:r>
      <w:r/>
    </w:p>
    <w:p>
      <w:pPr>
        <w:ind w:left="0" w:right="0" w:firstLine="280"/>
        <w:spacing w:before="0" w:after="100" w:line="559" w:lineRule="atLeast"/>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rPr>
        <w:t xml:space="preserve">第四条 合同价款与支付方式</w:t>
      </w:r>
      <w:r>
        <w:rPr>
          <w:color w:val="auto"/>
        </w:rPr>
      </w:r>
      <w:r/>
    </w:p>
    <w:p>
      <w:pPr>
        <w:ind w:left="-424" w:right="0" w:firstLine="48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rPr>
        <w:t xml:space="preserve">3.经双方协商一致，选择以下第</w:t>
      </w:r>
      <w:r>
        <w:rPr>
          <w:rFonts w:ascii="SimHei" w:hAnsi="SimHei" w:eastAsia="SimHei" w:cs="SimHei"/>
          <w:color w:val="auto"/>
          <w:sz w:val="28"/>
          <w:u w:val="single"/>
        </w:rPr>
        <w:t xml:space="preserve">     </w:t>
      </w:r>
      <w:r>
        <w:rPr>
          <w:rFonts w:ascii="SimHei" w:hAnsi="SimHei" w:eastAsia="SimHei" w:cs="SimHei"/>
          <w:color w:val="auto"/>
          <w:sz w:val="28"/>
        </w:rPr>
        <w:t xml:space="preserve">种付款方式</w:t>
      </w:r>
      <w:r>
        <w:rPr>
          <w:color w:val="auto"/>
        </w:rPr>
      </w:r>
      <w:r/>
    </w:p>
    <w:p>
      <w:pPr>
        <w:ind w:left="-424" w:right="0" w:firstLine="48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rPr>
        <w:t xml:space="preserve">3.1付款方式一：提交预付款保函的</w:t>
      </w:r>
      <w:r>
        <w:rPr>
          <w:color w:val="auto"/>
        </w:rPr>
      </w:r>
      <w:r/>
    </w:p>
    <w:p>
      <w:pPr>
        <w:ind w:left="-424" w:right="0" w:firstLine="48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rPr>
        <w:t xml:space="preserve">合同总价的百分之四十(40%)即</w:t>
      </w:r>
      <w:r>
        <w:rPr>
          <w:rFonts w:ascii="SimHei" w:hAnsi="SimHei" w:eastAsia="SimHei" w:cs="SimHei"/>
          <w:color w:val="auto"/>
          <w:sz w:val="28"/>
          <w:u w:val="single"/>
        </w:rPr>
        <w:t xml:space="preserve">￥，大写：人民币</w:t>
      </w:r>
      <w:r>
        <w:rPr>
          <w:rFonts w:ascii="SimHei" w:hAnsi="SimHei" w:eastAsia="SimHei" w:cs="SimHei"/>
          <w:color w:val="auto"/>
          <w:sz w:val="28"/>
        </w:rPr>
        <w:t xml:space="preserve">，作为预付款，在合同签订生效且乙方向甲方出具合同总价的百分之四十（40 %)即</w:t>
      </w:r>
      <w:r>
        <w:rPr>
          <w:rFonts w:ascii="SimHei" w:hAnsi="SimHei" w:eastAsia="SimHei" w:cs="SimHei"/>
          <w:color w:val="auto"/>
          <w:sz w:val="28"/>
          <w:u w:val="single"/>
        </w:rPr>
        <w:t xml:space="preserve">￥大写：人民币</w:t>
      </w:r>
      <w:r>
        <w:rPr>
          <w:rFonts w:ascii="SimHei" w:hAnsi="SimHei" w:eastAsia="SimHei" w:cs="SimHei"/>
          <w:color w:val="auto"/>
          <w:sz w:val="28"/>
        </w:rPr>
        <w:t xml:space="preserve">的预付款保函，甲方自收到发票（发票金额为合同总价的40 %）后</w:t>
      </w:r>
      <w:r>
        <w:rPr>
          <w:rFonts w:ascii="SimHei" w:hAnsi="SimHei" w:eastAsia="SimHei" w:cs="SimHei"/>
          <w:color w:val="auto"/>
          <w:sz w:val="28"/>
          <w:u w:val="single"/>
        </w:rPr>
        <w:t xml:space="preserve">15</w:t>
      </w:r>
      <w:r>
        <w:rPr>
          <w:rFonts w:ascii="SimHei" w:hAnsi="SimHei" w:eastAsia="SimHei" w:cs="SimHei"/>
          <w:color w:val="auto"/>
          <w:sz w:val="28"/>
        </w:rPr>
        <w:t xml:space="preserve">个工作日内，将资金支付到合同约定的乙方账户。</w:t>
      </w:r>
      <w:r>
        <w:rPr>
          <w:color w:val="auto"/>
        </w:rPr>
      </w:r>
      <w:r/>
    </w:p>
    <w:p>
      <w:pPr>
        <w:ind w:left="-424" w:right="0" w:firstLine="48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rPr>
        <w:t xml:space="preserve">合同总价的百分之六十(60%)即</w:t>
      </w:r>
      <w:r>
        <w:rPr>
          <w:rFonts w:ascii="SimHei" w:hAnsi="SimHei" w:eastAsia="SimHei" w:cs="SimHei"/>
          <w:color w:val="auto"/>
          <w:sz w:val="28"/>
          <w:u w:val="single"/>
        </w:rPr>
        <w:t xml:space="preserve">￥，大写：人民币</w:t>
      </w:r>
      <w:r>
        <w:rPr>
          <w:rFonts w:ascii="SimHei" w:hAnsi="SimHei" w:eastAsia="SimHei" w:cs="SimHei"/>
          <w:color w:val="auto"/>
          <w:sz w:val="28"/>
        </w:rPr>
        <w:t xml:space="preserve">，经甲方验收合格后，甲方自收到发票（发票金额为合同总价的60%）后</w:t>
      </w:r>
      <w:r>
        <w:rPr>
          <w:rFonts w:ascii="SimHei" w:hAnsi="SimHei" w:eastAsia="SimHei" w:cs="SimHei"/>
          <w:color w:val="auto"/>
          <w:sz w:val="28"/>
          <w:u w:val="single"/>
        </w:rPr>
        <w:t xml:space="preserve">15</w:t>
      </w:r>
      <w:r>
        <w:rPr>
          <w:rFonts w:ascii="SimHei" w:hAnsi="SimHei" w:eastAsia="SimHei" w:cs="SimHei"/>
          <w:color w:val="auto"/>
          <w:sz w:val="28"/>
        </w:rPr>
        <w:t xml:space="preserve">个工作日内，将资金支付到合同约定的乙方账户。</w:t>
      </w:r>
      <w:r>
        <w:rPr>
          <w:color w:val="auto"/>
        </w:rPr>
      </w:r>
      <w:r/>
    </w:p>
    <w:p>
      <w:pPr>
        <w:ind w:left="-424" w:right="0" w:firstLine="48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rPr>
        <w:t xml:space="preserve">乙方需提交的支付文件包括：</w:t>
      </w:r>
      <w:r>
        <w:rPr>
          <w:color w:val="auto"/>
        </w:rPr>
      </w:r>
      <w:r/>
    </w:p>
    <w:p>
      <w:pPr>
        <w:ind w:left="-424" w:right="0" w:firstLine="48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rPr>
        <w:t xml:space="preserve">乙方出具的全额正式发票；</w:t>
      </w:r>
      <w:r>
        <w:rPr>
          <w:color w:val="auto"/>
        </w:rPr>
      </w:r>
      <w:r/>
    </w:p>
    <w:p>
      <w:pPr>
        <w:ind w:left="-424" w:right="0" w:firstLine="48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rPr>
        <w:t xml:space="preserve">3.2付款方式二：不提交预付款保函的</w:t>
      </w:r>
      <w:r>
        <w:rPr>
          <w:color w:val="auto"/>
        </w:rPr>
      </w:r>
      <w:r/>
    </w:p>
    <w:p>
      <w:pPr>
        <w:ind w:left="-424" w:right="0" w:firstLine="48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rPr>
        <w:t xml:space="preserve">合同价款的百分之</w:t>
      </w:r>
      <w:r>
        <w:rPr>
          <w:rFonts w:ascii="SimHei" w:hAnsi="SimHei" w:eastAsia="SimHei" w:cs="SimHei"/>
          <w:color w:val="auto"/>
          <w:sz w:val="28"/>
          <w:u w:val="single"/>
        </w:rPr>
        <w:t xml:space="preserve"> 四十</w:t>
      </w:r>
      <w:r>
        <w:rPr>
          <w:rFonts w:ascii="SimHei" w:hAnsi="SimHei" w:eastAsia="SimHei" w:cs="SimHei"/>
          <w:color w:val="auto"/>
          <w:sz w:val="28"/>
        </w:rPr>
        <w:t xml:space="preserve">(</w:t>
      </w:r>
      <w:r>
        <w:rPr>
          <w:rFonts w:ascii="SimHei" w:hAnsi="SimHei" w:eastAsia="SimHei" w:cs="SimHei"/>
          <w:color w:val="auto"/>
          <w:sz w:val="28"/>
          <w:u w:val="single"/>
        </w:rPr>
        <w:t xml:space="preserve"> 40  </w:t>
      </w:r>
      <w:r>
        <w:rPr>
          <w:rFonts w:ascii="SimHei" w:hAnsi="SimHei" w:eastAsia="SimHei" w:cs="SimHei"/>
          <w:color w:val="auto"/>
          <w:sz w:val="28"/>
        </w:rPr>
        <w:t xml:space="preserve">%)即</w:t>
      </w:r>
      <w:r>
        <w:rPr>
          <w:rFonts w:ascii="SimHei" w:hAnsi="SimHei" w:eastAsia="SimHei" w:cs="SimHei"/>
          <w:color w:val="auto"/>
          <w:sz w:val="28"/>
          <w:u w:val="single"/>
        </w:rPr>
        <w:t xml:space="preserve">￥，大写：人民币</w:t>
      </w:r>
      <w:r>
        <w:rPr>
          <w:rFonts w:ascii="SimHei" w:hAnsi="SimHei" w:eastAsia="SimHei" w:cs="SimHei"/>
          <w:color w:val="auto"/>
          <w:sz w:val="28"/>
        </w:rPr>
        <w:t xml:space="preserve">，作为预付款，在合同签订生效，甲方自收到发票（发票金额为合同总价的</w:t>
      </w:r>
      <w:r>
        <w:rPr>
          <w:rFonts w:ascii="SimHei" w:hAnsi="SimHei" w:eastAsia="SimHei" w:cs="SimHei"/>
          <w:color w:val="auto"/>
          <w:sz w:val="28"/>
          <w:u w:val="single"/>
        </w:rPr>
        <w:t xml:space="preserve">40</w:t>
      </w:r>
      <w:r>
        <w:rPr>
          <w:rFonts w:ascii="SimHei" w:hAnsi="SimHei" w:eastAsia="SimHei" w:cs="SimHei"/>
          <w:color w:val="auto"/>
          <w:sz w:val="28"/>
        </w:rPr>
        <w:t xml:space="preserve">%）后</w:t>
      </w:r>
      <w:r>
        <w:rPr>
          <w:rFonts w:ascii="SimHei" w:hAnsi="SimHei" w:eastAsia="SimHei" w:cs="SimHei"/>
          <w:color w:val="auto"/>
          <w:sz w:val="28"/>
          <w:u w:val="single"/>
        </w:rPr>
        <w:t xml:space="preserve">15</w:t>
      </w:r>
      <w:r>
        <w:rPr>
          <w:rFonts w:ascii="SimHei" w:hAnsi="SimHei" w:eastAsia="SimHei" w:cs="SimHei"/>
          <w:color w:val="auto"/>
          <w:sz w:val="28"/>
        </w:rPr>
        <w:t xml:space="preserve">个工作日内，将资金支付到合同约定的乙方账户。</w:t>
      </w:r>
      <w:r>
        <w:rPr>
          <w:color w:val="auto"/>
        </w:rPr>
      </w:r>
      <w:r/>
    </w:p>
    <w:p>
      <w:pPr>
        <w:ind w:left="-424" w:right="0" w:firstLine="48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rPr>
        <w:t xml:space="preserve">合同总价的百分之</w:t>
      </w:r>
      <w:r>
        <w:rPr>
          <w:rFonts w:ascii="SimHei" w:hAnsi="SimHei" w:eastAsia="SimHei" w:cs="SimHei"/>
          <w:color w:val="auto"/>
          <w:sz w:val="28"/>
          <w:u w:val="single"/>
        </w:rPr>
        <w:t xml:space="preserve">  三十</w:t>
      </w:r>
      <w:r>
        <w:rPr>
          <w:rFonts w:ascii="SimHei" w:hAnsi="SimHei" w:eastAsia="SimHei" w:cs="SimHei"/>
          <w:color w:val="auto"/>
          <w:sz w:val="28"/>
        </w:rPr>
        <w:t xml:space="preserve">(</w:t>
      </w:r>
      <w:r>
        <w:rPr>
          <w:rFonts w:ascii="SimHei" w:hAnsi="SimHei" w:eastAsia="SimHei" w:cs="SimHei"/>
          <w:color w:val="auto"/>
          <w:sz w:val="28"/>
          <w:u w:val="single"/>
        </w:rPr>
        <w:t xml:space="preserve">  30 </w:t>
      </w:r>
      <w:r>
        <w:rPr>
          <w:rFonts w:ascii="SimHei" w:hAnsi="SimHei" w:eastAsia="SimHei" w:cs="SimHei"/>
          <w:color w:val="auto"/>
          <w:sz w:val="28"/>
        </w:rPr>
        <w:t xml:space="preserve">%)即</w:t>
      </w:r>
      <w:r>
        <w:rPr>
          <w:rFonts w:ascii="SimHei" w:hAnsi="SimHei" w:eastAsia="SimHei" w:cs="SimHei"/>
          <w:color w:val="auto"/>
          <w:sz w:val="28"/>
          <w:u w:val="single"/>
        </w:rPr>
        <w:t xml:space="preserve">￥，大写：人民币</w:t>
      </w:r>
      <w:r>
        <w:rPr>
          <w:rFonts w:ascii="SimHei" w:hAnsi="SimHei" w:eastAsia="SimHei" w:cs="SimHei"/>
          <w:color w:val="auto"/>
          <w:sz w:val="28"/>
        </w:rPr>
        <w:t xml:space="preserve">，全部设备运抵甲方指定地点并经开箱验收合格后</w:t>
      </w:r>
      <w:r>
        <w:rPr>
          <w:rFonts w:ascii="SimHei" w:hAnsi="SimHei" w:eastAsia="SimHei" w:cs="SimHei"/>
          <w:color w:val="auto"/>
          <w:sz w:val="28"/>
          <w:u w:val="single"/>
        </w:rPr>
        <w:t xml:space="preserve">15</w:t>
      </w:r>
      <w:r>
        <w:rPr>
          <w:rFonts w:ascii="SimHei" w:hAnsi="SimHei" w:eastAsia="SimHei" w:cs="SimHei"/>
          <w:color w:val="auto"/>
          <w:sz w:val="28"/>
        </w:rPr>
        <w:t xml:space="preserve">日内，甲方自收到发票（发票金额为合同总价的</w:t>
      </w:r>
      <w:r>
        <w:rPr>
          <w:rFonts w:ascii="SimHei" w:hAnsi="SimHei" w:eastAsia="SimHei" w:cs="SimHei"/>
          <w:color w:val="auto"/>
          <w:sz w:val="28"/>
          <w:u w:val="single"/>
        </w:rPr>
        <w:t xml:space="preserve"> 30 </w:t>
      </w:r>
      <w:r>
        <w:rPr>
          <w:rFonts w:ascii="SimHei" w:hAnsi="SimHei" w:eastAsia="SimHei" w:cs="SimHei"/>
          <w:color w:val="auto"/>
          <w:sz w:val="28"/>
        </w:rPr>
        <w:t xml:space="preserve">%），将资金支付到合同约定的乙方账户。</w:t>
      </w:r>
      <w:r>
        <w:rPr>
          <w:color w:val="auto"/>
        </w:rPr>
      </w:r>
      <w:r/>
    </w:p>
    <w:p>
      <w:pPr>
        <w:ind w:left="-424" w:right="0" w:firstLine="48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rPr>
        <w:t xml:space="preserve">合同总价的百分之</w:t>
      </w:r>
      <w:r>
        <w:rPr>
          <w:rFonts w:ascii="SimHei" w:hAnsi="SimHei" w:eastAsia="SimHei" w:cs="SimHei"/>
          <w:color w:val="auto"/>
          <w:sz w:val="28"/>
          <w:u w:val="single"/>
        </w:rPr>
        <w:t xml:space="preserve"> 三十</w:t>
      </w:r>
      <w:r>
        <w:rPr>
          <w:rFonts w:ascii="SimHei" w:hAnsi="SimHei" w:eastAsia="SimHei" w:cs="SimHei"/>
          <w:color w:val="auto"/>
          <w:sz w:val="28"/>
        </w:rPr>
        <w:t xml:space="preserve">(</w:t>
      </w:r>
      <w:r>
        <w:rPr>
          <w:rFonts w:ascii="SimHei" w:hAnsi="SimHei" w:eastAsia="SimHei" w:cs="SimHei"/>
          <w:color w:val="auto"/>
          <w:sz w:val="28"/>
          <w:u w:val="single"/>
        </w:rPr>
        <w:t xml:space="preserve"> 30 </w:t>
      </w:r>
      <w:r>
        <w:rPr>
          <w:rFonts w:ascii="SimHei" w:hAnsi="SimHei" w:eastAsia="SimHei" w:cs="SimHei"/>
          <w:color w:val="auto"/>
          <w:sz w:val="28"/>
        </w:rPr>
        <w:t xml:space="preserve">%)即</w:t>
      </w:r>
      <w:r>
        <w:rPr>
          <w:rFonts w:ascii="SimHei" w:hAnsi="SimHei" w:eastAsia="SimHei" w:cs="SimHei"/>
          <w:color w:val="auto"/>
          <w:sz w:val="28"/>
          <w:u w:val="single"/>
        </w:rPr>
        <w:t xml:space="preserve">￥，大写：人民币</w:t>
      </w:r>
      <w:r>
        <w:rPr>
          <w:rFonts w:ascii="SimHei" w:hAnsi="SimHei" w:eastAsia="SimHei" w:cs="SimHei"/>
          <w:color w:val="auto"/>
          <w:sz w:val="28"/>
        </w:rPr>
        <w:t xml:space="preserve">，项目整体安装、调试完毕并通过最终验收合格后</w:t>
      </w:r>
      <w:r>
        <w:rPr>
          <w:rFonts w:ascii="SimHei" w:hAnsi="SimHei" w:eastAsia="SimHei" w:cs="SimHei"/>
          <w:color w:val="auto"/>
          <w:sz w:val="28"/>
          <w:u w:val="single"/>
        </w:rPr>
        <w:t xml:space="preserve">15</w:t>
      </w:r>
      <w:r>
        <w:rPr>
          <w:rFonts w:ascii="SimHei" w:hAnsi="SimHei" w:eastAsia="SimHei" w:cs="SimHei"/>
          <w:color w:val="auto"/>
          <w:sz w:val="28"/>
        </w:rPr>
        <w:t xml:space="preserve">日内，甲方自收到发票（发票金额为合同总价的</w:t>
      </w:r>
      <w:r>
        <w:rPr>
          <w:rFonts w:ascii="SimHei" w:hAnsi="SimHei" w:eastAsia="SimHei" w:cs="SimHei"/>
          <w:color w:val="auto"/>
          <w:sz w:val="28"/>
          <w:u w:val="single"/>
        </w:rPr>
        <w:t xml:space="preserve"> 30 </w:t>
      </w:r>
      <w:r>
        <w:rPr>
          <w:rFonts w:ascii="SimHei" w:hAnsi="SimHei" w:eastAsia="SimHei" w:cs="SimHei"/>
          <w:color w:val="auto"/>
          <w:sz w:val="28"/>
        </w:rPr>
        <w:t xml:space="preserve">%），将资金支付到合同约定的乙方账户。</w:t>
      </w:r>
      <w:r>
        <w:rPr>
          <w:color w:val="auto"/>
        </w:rPr>
      </w:r>
      <w:r/>
    </w:p>
    <w:p>
      <w:pPr>
        <w:ind w:left="-424" w:right="0" w:firstLine="48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rPr>
        <w:t xml:space="preserve">3：乙方收付款信息：</w:t>
      </w:r>
      <w:r>
        <w:rPr>
          <w:color w:val="auto"/>
        </w:rPr>
      </w:r>
      <w:r/>
    </w:p>
    <w:p>
      <w:pPr>
        <w:ind w:left="-424" w:right="0" w:firstLine="48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rPr>
        <w:t xml:space="preserve">乙方账户：</w:t>
      </w:r>
      <w:r>
        <w:rPr>
          <w:color w:val="auto"/>
        </w:rPr>
      </w:r>
      <w:r/>
    </w:p>
    <w:p>
      <w:pPr>
        <w:ind w:left="-424" w:right="0" w:firstLine="48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rPr>
        <w:t xml:space="preserve">纳税人识别号：</w:t>
      </w:r>
      <w:r>
        <w:rPr>
          <w:color w:val="auto"/>
        </w:rPr>
      </w:r>
      <w:r/>
    </w:p>
    <w:p>
      <w:pPr>
        <w:ind w:left="-424" w:right="0" w:firstLine="48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rPr>
        <w:t xml:space="preserve">开户银行：</w:t>
      </w:r>
      <w:r>
        <w:rPr>
          <w:color w:val="auto"/>
        </w:rPr>
      </w:r>
      <w:r/>
    </w:p>
    <w:p>
      <w:pPr>
        <w:ind w:left="-424" w:right="0" w:firstLine="480"/>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rPr>
        <w:t xml:space="preserve">银行账号：</w:t>
      </w:r>
      <w:r>
        <w:rPr>
          <w:color w:val="auto"/>
        </w:rPr>
      </w:r>
      <w:r/>
    </w:p>
    <w:p>
      <w:pPr>
        <w:ind w:left="0" w:right="0" w:firstLine="0"/>
        <w:spacing w:before="0" w:after="100" w:line="559" w:lineRule="atLeast"/>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rPr>
        <w:t xml:space="preserve">第五条 质量保证与售后服务</w:t>
      </w:r>
      <w:r>
        <w:rPr>
          <w:color w:val="auto"/>
        </w:rPr>
      </w:r>
      <w:r/>
    </w:p>
    <w:p>
      <w:pPr>
        <w:ind w:left="0" w:right="0" w:firstLine="0"/>
        <w:spacing w:before="0" w:after="100" w:line="55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5.1 </w:t>
      </w:r>
      <w:r>
        <w:rPr>
          <w:rFonts w:ascii="FangSong" w:hAnsi="FangSong" w:eastAsia="FangSong" w:cs="FangSong"/>
          <w:b/>
          <w:color w:val="auto"/>
          <w:sz w:val="28"/>
        </w:rPr>
        <w:t xml:space="preserve">质保期</w:t>
      </w:r>
      <w:r>
        <w:rPr>
          <w:rFonts w:ascii="FangSong" w:hAnsi="FangSong" w:eastAsia="FangSong" w:cs="FangSong"/>
          <w:color w:val="auto"/>
          <w:sz w:val="28"/>
        </w:rPr>
        <w:t xml:space="preserve">：本项目整体质保期为最终验收合格之日起 </w:t>
      </w:r>
      <w:r>
        <w:rPr>
          <w:rFonts w:ascii="FangSong" w:hAnsi="FangSong" w:eastAsia="FangSong" w:cs="FangSong"/>
          <w:b/>
          <w:color w:val="auto"/>
          <w:sz w:val="28"/>
        </w:rPr>
        <w:t xml:space="preserve">12 个月</w:t>
      </w:r>
      <w:r>
        <w:rPr>
          <w:rFonts w:ascii="FangSong" w:hAnsi="FangSong" w:eastAsia="FangSong" w:cs="FangSong"/>
          <w:color w:val="auto"/>
          <w:sz w:val="28"/>
        </w:rPr>
        <w:t xml:space="preserve">。质保期内，乙方对所提供的全部硬件、软件（含系统）承担免费保修、包换、包退责任。</w:t>
      </w:r>
      <w:r>
        <w:rPr>
          <w:color w:val="auto"/>
        </w:rPr>
      </w:r>
      <w:r/>
    </w:p>
    <w:p>
      <w:pPr>
        <w:ind w:left="0" w:right="0" w:firstLine="0"/>
        <w:spacing w:before="0" w:after="100" w:line="55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5.2 </w:t>
      </w:r>
      <w:r>
        <w:rPr>
          <w:rFonts w:ascii="FangSong" w:hAnsi="FangSong" w:eastAsia="FangSong" w:cs="FangSong"/>
          <w:b/>
          <w:color w:val="auto"/>
          <w:sz w:val="28"/>
        </w:rPr>
        <w:t xml:space="preserve">服务响应</w:t>
      </w:r>
      <w:r>
        <w:rPr>
          <w:rFonts w:ascii="FangSong" w:hAnsi="FangSong" w:eastAsia="FangSong" w:cs="FangSong"/>
          <w:color w:val="auto"/>
          <w:sz w:val="28"/>
        </w:rPr>
        <w:t xml:space="preserve">：</w:t>
      </w:r>
      <w:r>
        <w:rPr>
          <w:color w:val="auto"/>
        </w:rPr>
      </w:r>
      <w:r/>
    </w:p>
    <w:p>
      <w:pPr>
        <w:numPr>
          <w:ilvl w:val="0"/>
          <w:numId w:val="10"/>
        </w:numPr>
        <w:spacing w:before="0" w:after="0" w:line="559" w:lineRule="atLeast"/>
        <w:tabs>
          <w:tab w:val="left" w:pos="720"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乙方提供7×24小时技术支持服务。</w:t>
      </w:r>
      <w:r>
        <w:rPr>
          <w:color w:val="auto"/>
        </w:rPr>
      </w:r>
      <w:r/>
    </w:p>
    <w:p>
      <w:pPr>
        <w:numPr>
          <w:ilvl w:val="0"/>
          <w:numId w:val="10"/>
        </w:numPr>
        <w:spacing w:before="0" w:after="0" w:line="559" w:lineRule="atLeast"/>
        <w:tabs>
          <w:tab w:val="left" w:pos="720"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接到甲方故障通知后，应在 半小时内 提出修复计划，并在 48 小时内 解决问题。</w:t>
      </w:r>
      <w:r>
        <w:rPr>
          <w:color w:val="auto"/>
        </w:rPr>
      </w:r>
      <w:r/>
    </w:p>
    <w:p>
      <w:pPr>
        <w:numPr>
          <w:ilvl w:val="0"/>
          <w:numId w:val="10"/>
        </w:numPr>
        <w:spacing w:before="0" w:after="0" w:line="559" w:lineRule="atLeast"/>
        <w:tabs>
          <w:tab w:val="left" w:pos="720" w:leader="none"/>
        </w:tabs>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如需现场服务，乙方专业技术人员应在接到通知后 6 小时内 抵达现场。</w:t>
      </w:r>
      <w:r>
        <w:rPr>
          <w:color w:val="auto"/>
        </w:rPr>
      </w:r>
      <w:r/>
    </w:p>
    <w:p>
      <w:pPr>
        <w:ind w:left="0" w:right="0" w:firstLine="560"/>
        <w:spacing w:before="0" w:after="100" w:line="55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5.3 </w:t>
      </w:r>
      <w:r>
        <w:rPr>
          <w:rFonts w:ascii="FangSong" w:hAnsi="FangSong" w:eastAsia="FangSong" w:cs="FangSong"/>
          <w:b/>
          <w:color w:val="auto"/>
          <w:sz w:val="28"/>
        </w:rPr>
        <w:t xml:space="preserve">培训</w:t>
      </w:r>
      <w:r>
        <w:rPr>
          <w:rFonts w:ascii="FangSong" w:hAnsi="FangSong" w:eastAsia="FangSong" w:cs="FangSong"/>
          <w:color w:val="auto"/>
          <w:sz w:val="28"/>
        </w:rPr>
        <w:t xml:space="preserve">：乙方应在系统验收合格后，为甲方相关人员提供为期半个月的系统性免费面授培训。</w:t>
      </w:r>
      <w:r>
        <w:rPr>
          <w:color w:val="auto"/>
        </w:rPr>
      </w:r>
      <w:r/>
    </w:p>
    <w:p>
      <w:pPr>
        <w:ind w:left="0" w:right="0" w:firstLine="560"/>
        <w:spacing w:before="0" w:after="100" w:line="55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5.4 质保期结束后，乙方应承诺以不高于成本价的价格提供持续的维修服务，并保持同等质量的服务响应标准。</w:t>
      </w:r>
      <w:r>
        <w:rPr>
          <w:color w:val="auto"/>
        </w:rPr>
      </w:r>
      <w:r/>
    </w:p>
    <w:p>
      <w:pPr>
        <w:ind w:left="0" w:right="0" w:firstLine="560"/>
        <w:spacing w:before="0" w:after="100" w:line="559" w:lineRule="atLeast"/>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rPr>
        <w:t xml:space="preserve">第六条 知识产权与保密</w:t>
      </w:r>
      <w:r>
        <w:rPr>
          <w:color w:val="auto"/>
        </w:rPr>
      </w:r>
      <w:r/>
    </w:p>
    <w:p>
      <w:pPr>
        <w:ind w:left="0" w:right="0" w:firstLine="560"/>
        <w:spacing w:before="0" w:after="100" w:line="55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6.1 乙方承诺，其为履行本合同所制作的3D动画影片、使用的软件、技术方案等均不侵犯任何第三方的知识产权。如因此产生任何纠纷或索赔，由乙方承担全部责任。</w:t>
      </w:r>
      <w:r>
        <w:rPr>
          <w:color w:val="auto"/>
        </w:rPr>
      </w:r>
      <w:r/>
    </w:p>
    <w:p>
      <w:pPr>
        <w:ind w:left="0" w:right="0" w:firstLine="560"/>
        <w:spacing w:before="0" w:after="100" w:line="55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6.2 本项目最终交付的3D动画影片、设计方案及其他技术成果的知识产权，在乙方收到甲方支付的全部合同款项后，归甲方所有。</w:t>
      </w:r>
      <w:r>
        <w:rPr>
          <w:color w:val="auto"/>
        </w:rPr>
      </w:r>
      <w:r/>
    </w:p>
    <w:p>
      <w:pPr>
        <w:ind w:left="0" w:right="0" w:firstLine="560"/>
        <w:spacing w:before="0" w:after="100" w:line="55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6.3 未经甲方书面同意，乙方不得将本项目任何成果用于其他商业用途或向第三方披露。</w:t>
      </w:r>
      <w:r>
        <w:rPr>
          <w:color w:val="auto"/>
        </w:rPr>
      </w:r>
      <w:r/>
    </w:p>
    <w:p>
      <w:pPr>
        <w:ind w:left="0" w:right="0" w:firstLine="560"/>
        <w:spacing w:before="0" w:after="100" w:line="55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6.4 双方对于在履行合同过程中知悉的对方商业秘密及其他未公开信息负有保密义务，此义务不因合同终止而失效。</w:t>
      </w:r>
      <w:r>
        <w:rPr>
          <w:color w:val="auto"/>
        </w:rPr>
      </w:r>
      <w:r/>
    </w:p>
    <w:p>
      <w:pPr>
        <w:ind w:left="0" w:right="0" w:firstLine="560"/>
        <w:spacing w:before="0" w:after="100" w:line="559" w:lineRule="atLeast"/>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rPr>
        <w:t xml:space="preserve">第七条 验收</w:t>
      </w:r>
      <w:r>
        <w:rPr>
          <w:color w:val="auto"/>
        </w:rPr>
      </w:r>
      <w:r/>
    </w:p>
    <w:p>
      <w:pPr>
        <w:ind w:left="0" w:right="0" w:firstLine="560"/>
        <w:spacing w:before="0" w:after="100" w:line="55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7.1甲方委托第三方公司验收。</w:t>
      </w:r>
      <w:r>
        <w:rPr>
          <w:color w:val="auto"/>
        </w:rPr>
      </w:r>
      <w:r/>
    </w:p>
    <w:p>
      <w:pPr>
        <w:ind w:left="0" w:right="0" w:firstLine="560"/>
        <w:spacing w:before="0" w:after="100" w:line="55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7.2验收将依据本合同、招标文件、乙方投标文件及国家相关标准进行。</w:t>
      </w:r>
      <w:r>
        <w:rPr>
          <w:color w:val="auto"/>
        </w:rPr>
      </w:r>
      <w:r/>
    </w:p>
    <w:p>
      <w:pPr>
        <w:ind w:left="0" w:right="0" w:firstLine="560"/>
        <w:spacing w:before="0" w:after="100" w:line="55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7.3验收分为到货验收、安装调试验收和最终验收。最终验收乙方需配合提供全部必要的技术资料和测试环境。</w:t>
      </w:r>
      <w:r>
        <w:rPr>
          <w:color w:val="auto"/>
        </w:rPr>
      </w:r>
      <w:r/>
    </w:p>
    <w:p>
      <w:pPr>
        <w:ind w:left="0" w:right="0" w:firstLine="560"/>
        <w:spacing w:before="0" w:after="100" w:line="55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7.4若验收不合格，乙方应在甲方要求的期限内免费进行修正、更换，直至达到验收标准。因此产生的所有费用由乙方承担。</w:t>
      </w:r>
      <w:r>
        <w:rPr>
          <w:color w:val="auto"/>
        </w:rPr>
      </w:r>
      <w:r/>
    </w:p>
    <w:p>
      <w:pPr>
        <w:ind w:left="0" w:right="0" w:firstLine="560"/>
        <w:spacing w:before="0" w:after="100" w:line="559" w:lineRule="atLeast"/>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rPr>
        <w:t xml:space="preserve">第八条 违约责任</w:t>
      </w:r>
      <w:r>
        <w:rPr>
          <w:color w:val="auto"/>
        </w:rPr>
      </w:r>
      <w:r/>
    </w:p>
    <w:p>
      <w:pPr>
        <w:ind w:left="0" w:right="0" w:firstLine="560"/>
        <w:spacing w:before="0" w:after="100" w:line="55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8.1 若乙方逾期交付项目成果，每逾期一日，应向甲方支付合同总价款千分之一的违约金，逾期超过30日，甲方有权单方解除合同。</w:t>
      </w:r>
      <w:r>
        <w:rPr>
          <w:color w:val="auto"/>
        </w:rPr>
      </w:r>
      <w:r/>
    </w:p>
    <w:p>
      <w:pPr>
        <w:ind w:left="0" w:right="0" w:firstLine="560"/>
        <w:spacing w:before="0" w:after="100" w:line="55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8.2 若乙方交付的成果质量不符合合同约定，经甲方要求整改后仍不符合的，甲方有权解除合同，并要求乙方支付合同总价款____%的违约金。</w:t>
      </w:r>
      <w:r>
        <w:rPr>
          <w:color w:val="auto"/>
        </w:rPr>
      </w:r>
      <w:r/>
    </w:p>
    <w:p>
      <w:pPr>
        <w:ind w:left="0" w:right="0" w:firstLine="560"/>
        <w:spacing w:before="0" w:after="100" w:line="55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8.3 乙方违反知识产权或保密义务的，应向甲方支付合同总价款____%的违约金，并赔偿因此给甲方造成的全部损失。</w:t>
      </w:r>
      <w:r>
        <w:rPr>
          <w:color w:val="auto"/>
        </w:rPr>
      </w:r>
      <w:r/>
    </w:p>
    <w:p>
      <w:pPr>
        <w:ind w:left="0" w:right="0" w:firstLine="560"/>
        <w:spacing w:before="0" w:after="100" w:line="559" w:lineRule="atLeast"/>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rPr>
        <w:t xml:space="preserve">第九条 其他</w:t>
      </w:r>
      <w:r>
        <w:rPr>
          <w:color w:val="auto"/>
        </w:rPr>
      </w:r>
      <w:r/>
    </w:p>
    <w:p>
      <w:pPr>
        <w:ind w:left="0" w:right="0" w:firstLine="560"/>
        <w:spacing w:before="0" w:after="100" w:line="55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9.1 本合同一式陆份，甲方执肆份，乙方执贰份，具有同等法律效力。</w:t>
        <w:br/>
        <w:t xml:space="preserve">    9.2因履行合同发生争议，甲、乙双方应协商解决，协商不成的，均有权向甲方所在地人民法院提前诉讼。</w:t>
      </w:r>
      <w:r>
        <w:rPr>
          <w:color w:val="auto"/>
        </w:rPr>
      </w:r>
      <w:r/>
    </w:p>
    <w:p>
      <w:pPr>
        <w:ind w:left="0" w:right="0" w:firstLine="560"/>
        <w:spacing w:before="0" w:after="100" w:line="55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9.3 本合同自双方盖章之日起生效。</w:t>
        <w:br/>
        <w:t xml:space="preserve">（以下无正文）</w:t>
      </w:r>
      <w:r>
        <w:rPr>
          <w:color w:val="auto"/>
        </w:rPr>
      </w:r>
      <w:r/>
    </w:p>
    <w:p>
      <w:pPr>
        <w:ind w:left="0" w:right="0" w:firstLine="0"/>
        <w:spacing w:before="0" w:after="0" w:line="55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甲方（盖章）：</w:t>
      </w:r>
      <w:r>
        <w:rPr>
          <w:rFonts w:ascii="Times New Roman" w:hAnsi="Times New Roman" w:eastAsia="Times New Roman" w:cs="Times New Roman"/>
          <w:color w:val="auto"/>
          <w:sz w:val="28"/>
        </w:rPr>
        <w:t xml:space="preserve">                 </w:t>
      </w:r>
      <w:r>
        <w:rPr>
          <w:rFonts w:ascii="FangSong" w:hAnsi="FangSong" w:eastAsia="FangSong" w:cs="FangSong"/>
          <w:color w:val="auto"/>
          <w:sz w:val="28"/>
        </w:rPr>
        <w:t xml:space="preserve">乙方（盖章）：</w:t>
      </w:r>
      <w:r>
        <w:rPr>
          <w:color w:val="auto"/>
        </w:rPr>
      </w:r>
      <w:r/>
    </w:p>
    <w:p>
      <w:pPr>
        <w:ind w:left="0" w:right="0" w:firstLine="0"/>
        <w:spacing w:before="0" w:after="0" w:line="55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法人或代表签章：</w:t>
      </w:r>
      <w:r>
        <w:rPr>
          <w:rFonts w:ascii="Times New Roman" w:hAnsi="Times New Roman" w:eastAsia="Times New Roman" w:cs="Times New Roman"/>
          <w:color w:val="auto"/>
          <w:sz w:val="28"/>
        </w:rPr>
        <w:t xml:space="preserve">            </w:t>
      </w:r>
      <w:r>
        <w:rPr>
          <w:rFonts w:ascii="FangSong" w:hAnsi="FangSong" w:eastAsia="FangSong" w:cs="FangSong"/>
          <w:color w:val="auto"/>
          <w:sz w:val="28"/>
        </w:rPr>
        <w:t xml:space="preserve">法人或代表签章：</w:t>
      </w:r>
      <w:r>
        <w:rPr>
          <w:color w:val="auto"/>
        </w:rPr>
      </w:r>
      <w:r/>
    </w:p>
    <w:p>
      <w:pPr>
        <w:ind w:left="0" w:right="0" w:firstLine="0"/>
        <w:spacing w:before="0" w:after="0" w:line="559" w:lineRule="atLeast"/>
        <w:rPr>
          <w:color w:val="auto"/>
        </w:rPr>
        <w:pBdr>
          <w:top w:val="none" w:color="000000" w:sz="4" w:space="0"/>
          <w:left w:val="none" w:color="000000" w:sz="4" w:space="0"/>
          <w:bottom w:val="none" w:color="000000" w:sz="4" w:space="0"/>
          <w:right w:val="none" w:color="000000" w:sz="4" w:space="0"/>
        </w:pBdr>
      </w:pPr>
      <w:r>
        <w:rPr>
          <w:rFonts w:ascii="FangSong" w:hAnsi="FangSong" w:eastAsia="FangSong" w:cs="FangSong"/>
          <w:color w:val="auto"/>
          <w:sz w:val="28"/>
        </w:rPr>
        <w:t xml:space="preserve">日期：</w:t>
      </w:r>
      <w:r>
        <w:rPr>
          <w:rFonts w:ascii="Times New Roman" w:hAnsi="Times New Roman" w:eastAsia="Times New Roman" w:cs="Times New Roman"/>
          <w:color w:val="auto"/>
          <w:sz w:val="28"/>
        </w:rPr>
        <w:t xml:space="preserve">                        </w:t>
      </w:r>
      <w:r>
        <w:rPr>
          <w:rFonts w:ascii="FangSong" w:hAnsi="FangSong" w:eastAsia="FangSong" w:cs="FangSong"/>
          <w:color w:val="auto"/>
          <w:sz w:val="28"/>
        </w:rPr>
        <w:t xml:space="preserve">日期：</w:t>
      </w:r>
      <w:r>
        <w:rPr>
          <w:rFonts w:ascii="Times New Roman" w:hAnsi="Times New Roman" w:eastAsia="Times New Roman" w:cs="Times New Roman"/>
          <w:color w:val="auto"/>
          <w:sz w:val="32"/>
        </w:rPr>
        <w:t xml:space="preserve"> </w:t>
      </w:r>
      <w:r>
        <w:rPr>
          <w:color w:val="auto"/>
        </w:rPr>
      </w:r>
      <w:r/>
    </w:p>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pStyle w:val="658"/>
        <w:ind w:left="0" w:right="0" w:firstLine="0"/>
        <w:jc w:val="center"/>
        <w:spacing w:before="0" w:after="0" w:line="54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rPr>
        <w:t xml:space="preserve">第六章</w:t>
      </w:r>
      <w:r>
        <w:rPr>
          <w:rFonts w:ascii="Arial" w:hAnsi="Arial" w:eastAsia="Arial" w:cs="Arial"/>
          <w:b/>
          <w:color w:val="auto"/>
          <w:sz w:val="36"/>
        </w:rPr>
        <w:t xml:space="preserve"> </w:t>
      </w:r>
      <w:r>
        <w:rPr>
          <w:rFonts w:ascii="SimSun" w:hAnsi="SimSun" w:eastAsia="SimSun" w:cs="SimSun"/>
          <w:b/>
          <w:color w:val="auto"/>
          <w:sz w:val="36"/>
        </w:rPr>
        <w:t xml:space="preserve">采购需求</w:t>
      </w:r>
      <w:r>
        <w:rPr>
          <w:color w:val="auto"/>
        </w:rPr>
      </w:r>
      <w:r/>
    </w:p>
    <w:p>
      <w:pPr>
        <w:ind w:left="0" w:right="0" w:firstLine="0"/>
        <w:jc w:val="both"/>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4"/>
        </w:rPr>
        <w:t xml:space="preserve">一、</w:t>
      </w:r>
      <w:r>
        <w:rPr>
          <w:rFonts w:ascii="SimSun" w:hAnsi="SimSun" w:eastAsia="SimSun" w:cs="SimSun"/>
          <w:b/>
          <w:color w:val="auto"/>
          <w:sz w:val="24"/>
        </w:rPr>
        <w:t xml:space="preserve">项目名称：</w:t>
      </w:r>
      <w:r>
        <w:rPr>
          <w:rFonts w:ascii="SimSun" w:hAnsi="SimSun" w:eastAsia="SimSun" w:cs="SimSun"/>
          <w:color w:val="auto"/>
          <w:sz w:val="24"/>
        </w:rPr>
        <w:t xml:space="preserve">淮海战役</w:t>
      </w:r>
      <w:r>
        <w:rPr>
          <w:rFonts w:ascii="Times New Roman" w:hAnsi="Times New Roman" w:eastAsia="Times New Roman" w:cs="Times New Roman"/>
          <w:color w:val="auto"/>
          <w:sz w:val="24"/>
        </w:rPr>
        <w:t xml:space="preserve">3D</w:t>
      </w:r>
      <w:r>
        <w:rPr>
          <w:rFonts w:ascii="SimSun" w:hAnsi="SimSun" w:eastAsia="SimSun" w:cs="SimSun"/>
          <w:color w:val="auto"/>
          <w:sz w:val="24"/>
        </w:rPr>
        <w:t xml:space="preserve">动画制作与配套设施建设项目</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4"/>
        </w:rPr>
        <w:t xml:space="preserve">二、</w:t>
      </w:r>
      <w:r>
        <w:rPr>
          <w:rFonts w:ascii="SimSun" w:hAnsi="SimSun" w:eastAsia="SimSun" w:cs="SimSun"/>
          <w:b/>
          <w:color w:val="auto"/>
          <w:sz w:val="24"/>
        </w:rPr>
        <w:t xml:space="preserve">采购预算：</w:t>
      </w:r>
      <w:r>
        <w:rPr>
          <w:rFonts w:ascii="SimSun" w:hAnsi="SimSun" w:eastAsia="SimSun" w:cs="SimSun"/>
          <w:color w:val="auto"/>
          <w:sz w:val="24"/>
        </w:rPr>
        <w:t xml:space="preserve">本项目不接受超过</w:t>
      </w:r>
      <w:r>
        <w:rPr>
          <w:rFonts w:ascii="Times New Roman" w:hAnsi="Times New Roman" w:eastAsia="Times New Roman" w:cs="Times New Roman"/>
          <w:color w:val="auto"/>
          <w:sz w:val="24"/>
        </w:rPr>
        <w:t xml:space="preserve">320</w:t>
      </w:r>
      <w:r>
        <w:rPr>
          <w:rFonts w:ascii="SimSun" w:hAnsi="SimSun" w:eastAsia="SimSun" w:cs="SimSun"/>
          <w:color w:val="auto"/>
          <w:sz w:val="24"/>
        </w:rPr>
        <w:t xml:space="preserve">万元人民币（采购项目预算金额）的投标报价。报价包括税金、检验、保险、验收等全部费用。采购人不再支付报价以外的任何费用。</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4"/>
        </w:rPr>
        <w:t xml:space="preserve">三、</w:t>
      </w:r>
      <w:r>
        <w:rPr>
          <w:rFonts w:ascii="SimSun" w:hAnsi="SimSun" w:eastAsia="SimSun" w:cs="SimSun"/>
          <w:b/>
          <w:color w:val="auto"/>
          <w:sz w:val="24"/>
        </w:rPr>
        <w:t xml:space="preserve">服务期：自签订合同之日起至项目验收合格完毕。</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四、采购需求：</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（一）项目基本情况</w:t>
      </w:r>
      <w:r>
        <w:rPr>
          <w:color w:val="auto"/>
        </w:rPr>
      </w:r>
      <w:r/>
    </w:p>
    <w:p>
      <w:pPr>
        <w:ind w:left="0" w:right="0" w:firstLine="48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为创新红色文化传播方式，全面提升淮塔的整体服务品质与社会教育功能，党组决定开展淮海战役数字化展示项目。经过前期调研，为再现淮海战役宏大历史场景，深刻诠释淮海战役的精神内函，运用现代科技手段，打造沉浸式、互动化体验教育新模式，实现“技术为表、精神为核”的展示目标，计划利用多功能厅</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建设高标准的</w:t>
      </w:r>
      <w:r>
        <w:rPr>
          <w:rFonts w:ascii="Times New Roman" w:hAnsi="Times New Roman" w:eastAsia="Times New Roman" w:cs="Times New Roman"/>
          <w:color w:val="auto"/>
          <w:sz w:val="24"/>
        </w:rPr>
        <w:t xml:space="preserve">3D</w:t>
      </w:r>
      <w:r>
        <w:rPr>
          <w:rFonts w:ascii="SimSun" w:hAnsi="SimSun" w:eastAsia="SimSun" w:cs="SimSun"/>
          <w:color w:val="auto"/>
          <w:sz w:val="24"/>
        </w:rPr>
        <w:t xml:space="preserve">弧幕影院和制作高质量的淮海战役题材</w:t>
      </w:r>
      <w:r>
        <w:rPr>
          <w:rFonts w:ascii="Times New Roman" w:hAnsi="Times New Roman" w:eastAsia="Times New Roman" w:cs="Times New Roman"/>
          <w:color w:val="auto"/>
          <w:sz w:val="24"/>
        </w:rPr>
        <w:t xml:space="preserve">3D</w:t>
      </w:r>
      <w:r>
        <w:rPr>
          <w:rFonts w:ascii="SimSun" w:hAnsi="SimSun" w:eastAsia="SimSun" w:cs="SimSun"/>
          <w:color w:val="auto"/>
          <w:sz w:val="24"/>
        </w:rPr>
        <w:t xml:space="preserve">动画影片。</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Arial" w:hAnsi="Arial" w:eastAsia="Arial" w:cs="Arial"/>
          <w:b/>
          <w:color w:val="auto"/>
          <w:sz w:val="24"/>
        </w:rPr>
        <w:t xml:space="preserve">（二）</w:t>
      </w:r>
      <w:r>
        <w:rPr>
          <w:rFonts w:ascii="SimSun" w:hAnsi="SimSun" w:eastAsia="SimSun" w:cs="SimSun"/>
          <w:b/>
          <w:color w:val="auto"/>
          <w:sz w:val="24"/>
        </w:rPr>
        <w:t xml:space="preserve">项目内容主要包括：</w:t>
      </w:r>
      <w:r>
        <w:rPr>
          <w:color w:val="auto"/>
        </w:rPr>
      </w:r>
      <w:r/>
    </w:p>
    <w:p>
      <w:pPr>
        <w:ind w:left="0" w:right="0" w:firstLine="48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淮海战役</w:t>
      </w:r>
      <w:r>
        <w:rPr>
          <w:rFonts w:ascii="Times New Roman" w:hAnsi="Times New Roman" w:eastAsia="Times New Roman" w:cs="Times New Roman"/>
          <w:color w:val="auto"/>
          <w:sz w:val="24"/>
        </w:rPr>
        <w:t xml:space="preserve">3D</w:t>
      </w:r>
      <w:r>
        <w:rPr>
          <w:rFonts w:ascii="SimSun" w:hAnsi="SimSun" w:eastAsia="SimSun" w:cs="SimSun"/>
          <w:color w:val="auto"/>
          <w:sz w:val="24"/>
        </w:rPr>
        <w:t xml:space="preserve">动画影片制作：完成一部</w:t>
      </w:r>
      <w:r>
        <w:rPr>
          <w:rFonts w:ascii="Times New Roman" w:hAnsi="Times New Roman" w:eastAsia="Times New Roman" w:cs="Times New Roman"/>
          <w:color w:val="auto"/>
          <w:sz w:val="24"/>
        </w:rPr>
        <w:t xml:space="preserve">20</w:t>
      </w:r>
      <w:r>
        <w:rPr>
          <w:rFonts w:ascii="SimSun" w:hAnsi="SimSun" w:eastAsia="SimSun" w:cs="SimSun"/>
          <w:color w:val="auto"/>
          <w:sz w:val="24"/>
        </w:rPr>
        <w:t xml:space="preserve">分钟的</w:t>
      </w:r>
      <w:r>
        <w:rPr>
          <w:rFonts w:ascii="Times New Roman" w:hAnsi="Times New Roman" w:eastAsia="Times New Roman" w:cs="Times New Roman"/>
          <w:color w:val="auto"/>
          <w:sz w:val="24"/>
        </w:rPr>
        <w:t xml:space="preserve">4K</w:t>
      </w:r>
      <w:r>
        <w:rPr>
          <w:rFonts w:ascii="SimSun" w:hAnsi="SimSun" w:eastAsia="SimSun" w:cs="SimSun"/>
          <w:color w:val="auto"/>
          <w:sz w:val="24"/>
        </w:rPr>
        <w:t xml:space="preserve">高清的淮海战役题材</w:t>
      </w:r>
      <w:r>
        <w:rPr>
          <w:rFonts w:ascii="Times New Roman" w:hAnsi="Times New Roman" w:eastAsia="Times New Roman" w:cs="Times New Roman"/>
          <w:color w:val="auto"/>
          <w:sz w:val="24"/>
        </w:rPr>
        <w:t xml:space="preserve">3D</w:t>
      </w:r>
      <w:r>
        <w:rPr>
          <w:rFonts w:ascii="SimSun" w:hAnsi="SimSun" w:eastAsia="SimSun" w:cs="SimSun"/>
          <w:color w:val="auto"/>
          <w:sz w:val="24"/>
        </w:rPr>
        <w:t xml:space="preserve">动画影片全流程制作（写实风格），涵盖剧本编写、导演执导、编剧创意、</w:t>
      </w:r>
      <w:r>
        <w:rPr>
          <w:rFonts w:ascii="Times New Roman" w:hAnsi="Times New Roman" w:eastAsia="Times New Roman" w:cs="Times New Roman"/>
          <w:color w:val="auto"/>
          <w:sz w:val="24"/>
        </w:rPr>
        <w:t xml:space="preserve">3D</w:t>
      </w:r>
      <w:r>
        <w:rPr>
          <w:rFonts w:ascii="SimSun" w:hAnsi="SimSun" w:eastAsia="SimSun" w:cs="SimSun"/>
          <w:color w:val="auto"/>
          <w:sz w:val="24"/>
        </w:rPr>
        <w:t xml:space="preserve">建模、动画制作、特效渲染、配音与音效设计等全环节。</w:t>
      </w:r>
      <w:r>
        <w:rPr>
          <w:color w:val="auto"/>
        </w:rPr>
      </w:r>
      <w:r/>
    </w:p>
    <w:p>
      <w:pPr>
        <w:ind w:left="0" w:right="0" w:firstLine="48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2. </w:t>
      </w:r>
      <w:r>
        <w:rPr>
          <w:rFonts w:ascii="SimSun" w:hAnsi="SimSun" w:eastAsia="SimSun" w:cs="SimSun"/>
          <w:color w:val="auto"/>
          <w:sz w:val="24"/>
        </w:rPr>
        <w:t xml:space="preserve">配套</w:t>
      </w:r>
      <w:r>
        <w:rPr>
          <w:rFonts w:ascii="Times New Roman" w:hAnsi="Times New Roman" w:eastAsia="Times New Roman" w:cs="Times New Roman"/>
          <w:color w:val="auto"/>
          <w:sz w:val="24"/>
        </w:rPr>
        <w:t xml:space="preserve">3D</w:t>
      </w:r>
      <w:r>
        <w:rPr>
          <w:rFonts w:ascii="SimSun" w:hAnsi="SimSun" w:eastAsia="SimSun" w:cs="SimSun"/>
          <w:color w:val="auto"/>
          <w:sz w:val="24"/>
        </w:rPr>
        <w:t xml:space="preserve">影片播放硬件系统建设：采购安装高清双激光投影系统、沉浸式音频系统、金属透声弧幕等配套设备，实现影片高清、沉浸式播放。（需保有会议功能）</w:t>
      </w:r>
      <w:r>
        <w:rPr>
          <w:color w:val="auto"/>
        </w:rPr>
      </w:r>
      <w:r/>
    </w:p>
    <w:p>
      <w:pPr>
        <w:ind w:left="0" w:right="0" w:firstLine="48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3.</w:t>
      </w:r>
      <w:r>
        <w:rPr>
          <w:rFonts w:ascii="SimSun" w:hAnsi="SimSun" w:eastAsia="SimSun" w:cs="SimSun"/>
          <w:color w:val="auto"/>
          <w:sz w:val="24"/>
        </w:rPr>
        <w:t xml:space="preserve">影片相关文创设计创作：最少</w:t>
      </w: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个</w:t>
      </w:r>
      <w:r>
        <w:rPr>
          <w:rFonts w:ascii="Times New Roman" w:hAnsi="Times New Roman" w:eastAsia="Times New Roman" w:cs="Times New Roman"/>
          <w:color w:val="auto"/>
          <w:sz w:val="24"/>
        </w:rPr>
        <w:t xml:space="preserve">IP</w:t>
      </w:r>
      <w:r>
        <w:rPr>
          <w:rFonts w:ascii="SimSun" w:hAnsi="SimSun" w:eastAsia="SimSun" w:cs="SimSun"/>
          <w:color w:val="auto"/>
          <w:sz w:val="24"/>
        </w:rPr>
        <w:t xml:space="preserve">产品形象提炼设计（含</w:t>
      </w:r>
      <w:r>
        <w:rPr>
          <w:rFonts w:ascii="Times New Roman" w:hAnsi="Times New Roman" w:eastAsia="Times New Roman" w:cs="Times New Roman"/>
          <w:color w:val="auto"/>
          <w:sz w:val="24"/>
        </w:rPr>
        <w:t xml:space="preserve">8</w:t>
      </w:r>
      <w:r>
        <w:rPr>
          <w:rFonts w:ascii="SimSun" w:hAnsi="SimSun" w:eastAsia="SimSun" w:cs="SimSun"/>
          <w:color w:val="auto"/>
          <w:sz w:val="24"/>
        </w:rPr>
        <w:t xml:space="preserve">个</w:t>
      </w:r>
      <w:r>
        <w:rPr>
          <w:rFonts w:ascii="Times New Roman" w:hAnsi="Times New Roman" w:eastAsia="Times New Roman" w:cs="Times New Roman"/>
          <w:color w:val="auto"/>
          <w:sz w:val="24"/>
        </w:rPr>
        <w:t xml:space="preserve">IP</w:t>
      </w:r>
      <w:r>
        <w:rPr>
          <w:rFonts w:ascii="SimSun" w:hAnsi="SimSun" w:eastAsia="SimSun" w:cs="SimSun"/>
          <w:color w:val="auto"/>
          <w:sz w:val="24"/>
        </w:rPr>
        <w:t xml:space="preserve">转面八视图、</w:t>
      </w:r>
      <w:r>
        <w:rPr>
          <w:rFonts w:ascii="Times New Roman" w:hAnsi="Times New Roman" w:eastAsia="Times New Roman" w:cs="Times New Roman"/>
          <w:color w:val="auto"/>
          <w:sz w:val="24"/>
        </w:rPr>
        <w:t xml:space="preserve">6</w:t>
      </w:r>
      <w:r>
        <w:rPr>
          <w:rFonts w:ascii="SimSun" w:hAnsi="SimSun" w:eastAsia="SimSun" w:cs="SimSun"/>
          <w:color w:val="auto"/>
          <w:sz w:val="24"/>
        </w:rPr>
        <w:t xml:space="preserve">个形象细化造型图、</w:t>
      </w:r>
      <w:r>
        <w:rPr>
          <w:rFonts w:ascii="Times New Roman" w:hAnsi="Times New Roman" w:eastAsia="Times New Roman" w:cs="Times New Roman"/>
          <w:color w:val="auto"/>
          <w:sz w:val="24"/>
        </w:rPr>
        <w:t xml:space="preserve">16</w:t>
      </w:r>
      <w:r>
        <w:rPr>
          <w:rFonts w:ascii="SimSun" w:hAnsi="SimSun" w:eastAsia="SimSun" w:cs="SimSun"/>
          <w:color w:val="auto"/>
          <w:sz w:val="24"/>
        </w:rPr>
        <w:t xml:space="preserve">个表情包等）。</w:t>
      </w:r>
      <w:r>
        <w:rPr>
          <w:color w:val="auto"/>
        </w:rPr>
      </w:r>
      <w:r/>
    </w:p>
    <w:p>
      <w:pPr>
        <w:ind w:left="0" w:right="0" w:firstLine="240"/>
        <w:spacing w:before="240" w:after="240"/>
        <w:rPr>
          <w:color w:val="auto"/>
        </w:rPr>
        <w:pBdr>
          <w:top w:val="none" w:color="000000" w:sz="4" w:space="0"/>
          <w:left w:val="none" w:color="000000" w:sz="4" w:space="0"/>
          <w:bottom w:val="none" w:color="000000" w:sz="4" w:space="0"/>
          <w:right w:val="none" w:color="000000" w:sz="4" w:space="0"/>
        </w:pBdr>
      </w:pPr>
      <w:r>
        <w:rPr>
          <w:rFonts w:ascii="Calibri" w:hAnsi="Calibri" w:eastAsia="Calibri" w:cs="Calibri"/>
          <w:b/>
          <w:color w:val="auto"/>
          <w:sz w:val="24"/>
        </w:rPr>
        <w:t xml:space="preserve">(</w:t>
      </w:r>
      <w:r>
        <w:rPr>
          <w:rFonts w:ascii="Arial" w:hAnsi="Arial" w:eastAsia="Arial" w:cs="Arial"/>
          <w:b/>
          <w:color w:val="auto"/>
          <w:sz w:val="24"/>
        </w:rPr>
        <w:t xml:space="preserve">三</w:t>
      </w:r>
      <w:r>
        <w:rPr>
          <w:rFonts w:ascii="Calibri" w:hAnsi="Calibri" w:eastAsia="Calibri" w:cs="Calibri"/>
          <w:b/>
          <w:color w:val="auto"/>
          <w:sz w:val="24"/>
        </w:rPr>
        <w:t xml:space="preserve">)3D</w:t>
      </w:r>
      <w:r>
        <w:rPr>
          <w:rFonts w:ascii="Arial" w:hAnsi="Arial" w:eastAsia="Arial" w:cs="Arial"/>
          <w:b/>
          <w:color w:val="auto"/>
          <w:sz w:val="24"/>
        </w:rPr>
        <w:t xml:space="preserve">电影样片素材（张树才舍身炸地堡）</w:t>
      </w:r>
      <w:r>
        <w:rPr>
          <w:rFonts w:ascii="Arial" w:hAnsi="Arial" w:eastAsia="Arial" w:cs="Arial"/>
          <w:color w:val="auto"/>
          <w:sz w:val="24"/>
        </w:rPr>
        <w:t xml:space="preserve">          </w:t>
      </w:r>
      <w:r>
        <w:rPr>
          <w:color w:val="auto"/>
        </w:rPr>
      </w:r>
      <w:r/>
    </w:p>
    <w:p>
      <w:pPr>
        <w:ind w:left="0" w:right="0" w:firstLine="240"/>
        <w:spacing w:before="240" w:after="240"/>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4"/>
        </w:rPr>
        <w:t xml:space="preserve">围歼小张庄之敌的光荣任务落在了张树才所在的八连，当时是敌强我弱，敌兵力为八连的</w:t>
      </w:r>
      <w:r>
        <w:rPr>
          <w:rFonts w:ascii="Calibri" w:hAnsi="Calibri" w:eastAsia="Calibri" w:cs="Calibri"/>
          <w:color w:val="auto"/>
          <w:sz w:val="24"/>
        </w:rPr>
        <w:t xml:space="preserve">3</w:t>
      </w:r>
      <w:r>
        <w:rPr>
          <w:rFonts w:ascii="Arial" w:hAnsi="Arial" w:eastAsia="Arial" w:cs="Arial"/>
          <w:color w:val="auto"/>
          <w:sz w:val="24"/>
        </w:rPr>
        <w:t xml:space="preserve">倍，火力炽盛。当夜</w:t>
      </w:r>
      <w:r>
        <w:rPr>
          <w:rFonts w:ascii="Calibri" w:hAnsi="Calibri" w:eastAsia="Calibri" w:cs="Calibri"/>
          <w:color w:val="auto"/>
          <w:sz w:val="24"/>
        </w:rPr>
        <w:t xml:space="preserve">1</w:t>
      </w:r>
      <w:r>
        <w:rPr>
          <w:rFonts w:ascii="Arial" w:hAnsi="Arial" w:eastAsia="Arial" w:cs="Arial"/>
          <w:color w:val="auto"/>
          <w:sz w:val="24"/>
        </w:rPr>
        <w:t xml:space="preserve">点钟，攻击开始了，该连在</w:t>
      </w:r>
      <w:r>
        <w:rPr>
          <w:rFonts w:ascii="Calibri" w:hAnsi="Calibri" w:eastAsia="Calibri" w:cs="Calibri"/>
          <w:color w:val="auto"/>
          <w:sz w:val="24"/>
        </w:rPr>
        <w:t xml:space="preserve">5</w:t>
      </w:r>
      <w:r>
        <w:rPr>
          <w:rFonts w:ascii="Arial" w:hAnsi="Arial" w:eastAsia="Arial" w:cs="Arial"/>
          <w:color w:val="auto"/>
          <w:sz w:val="24"/>
        </w:rPr>
        <w:t xml:space="preserve">门六○炮、</w:t>
      </w:r>
      <w:r>
        <w:rPr>
          <w:rFonts w:ascii="Calibri" w:hAnsi="Calibri" w:eastAsia="Calibri" w:cs="Calibri"/>
          <w:color w:val="auto"/>
          <w:sz w:val="24"/>
        </w:rPr>
        <w:t xml:space="preserve">4</w:t>
      </w:r>
      <w:r>
        <w:rPr>
          <w:rFonts w:ascii="Arial" w:hAnsi="Arial" w:eastAsia="Arial" w:cs="Arial"/>
          <w:color w:val="auto"/>
          <w:sz w:val="24"/>
        </w:rPr>
        <w:t xml:space="preserve">挺重机枪的掩护下，开始向敌运动。碾庄圩和车站敌炮兵疯狂地向他们打炮，侧面的敌机枪拼命地射击，阻止他们前进。这时，爆破员李守强夹起了一包炸药，在敌照明弹下，飞快地接近了西南角大地堡，当他距那地堡只有</w:t>
      </w:r>
      <w:r>
        <w:rPr>
          <w:rFonts w:ascii="Calibri" w:hAnsi="Calibri" w:eastAsia="Calibri" w:cs="Calibri"/>
          <w:color w:val="auto"/>
          <w:sz w:val="24"/>
        </w:rPr>
        <w:t xml:space="preserve">10</w:t>
      </w:r>
      <w:r>
        <w:rPr>
          <w:rFonts w:ascii="Arial" w:hAnsi="Arial" w:eastAsia="Arial" w:cs="Arial"/>
          <w:color w:val="auto"/>
          <w:sz w:val="24"/>
        </w:rPr>
        <w:t xml:space="preserve">余步时，突然被击中摔倒，英勇牺牲了。全连同志万分焦急，紧张地等待第二包炸药，但该连的火力又压不倒敌人的火力，敌人子弹交织飞舞，炮弹轰鸣，像刮起的一阵阵风暴，显然，在此情况下送炸药是件极为困难的事。部队伤亡不断增加，时间一分一秒地过去，那西南角的大地堡格外疯狂地嚎叫。这时，爆破组组长张树才怒火冲天，挺身而出，向连长请求任务说：“连长，让我去，战士张树才保证完成任务，不炸开这个地堡决不回来。”他随即抱起</w:t>
      </w:r>
      <w:r>
        <w:rPr>
          <w:rFonts w:ascii="Calibri" w:hAnsi="Calibri" w:eastAsia="Calibri" w:cs="Calibri"/>
          <w:color w:val="auto"/>
          <w:sz w:val="24"/>
        </w:rPr>
        <w:t xml:space="preserve">20</w:t>
      </w:r>
      <w:r>
        <w:rPr>
          <w:rFonts w:ascii="Arial" w:hAnsi="Arial" w:eastAsia="Arial" w:cs="Arial"/>
          <w:color w:val="auto"/>
          <w:sz w:val="24"/>
        </w:rPr>
        <w:t xml:space="preserve">余斤的炸药包，飞驰地向那地堡群跑进，当时狡猾的敌人一枪未发，等到张树才距地堡只有</w:t>
      </w:r>
      <w:r>
        <w:rPr>
          <w:rFonts w:ascii="Calibri" w:hAnsi="Calibri" w:eastAsia="Calibri" w:cs="Calibri"/>
          <w:color w:val="auto"/>
          <w:sz w:val="24"/>
        </w:rPr>
        <w:t xml:space="preserve">20</w:t>
      </w:r>
      <w:r>
        <w:rPr>
          <w:rFonts w:ascii="Arial" w:hAnsi="Arial" w:eastAsia="Arial" w:cs="Arial"/>
          <w:color w:val="auto"/>
          <w:sz w:val="24"/>
        </w:rPr>
        <w:t xml:space="preserve">余米时，</w:t>
      </w:r>
      <w:r>
        <w:rPr>
          <w:rFonts w:ascii="Calibri" w:hAnsi="Calibri" w:eastAsia="Calibri" w:cs="Calibri"/>
          <w:color w:val="auto"/>
          <w:sz w:val="24"/>
        </w:rPr>
        <w:t xml:space="preserve">3</w:t>
      </w:r>
      <w:r>
        <w:rPr>
          <w:rFonts w:ascii="Arial" w:hAnsi="Arial" w:eastAsia="Arial" w:cs="Arial"/>
          <w:color w:val="auto"/>
          <w:sz w:val="24"/>
        </w:rPr>
        <w:t xml:space="preserve">个敌兵突然跳出工事，端着明光光的刺刀向他扑来，凶恶地喊：“捉活的，捉活的！”随着喊声，张树才连续扔了两个手榴弹，敌人应声倒下去了。但敌人随即又上来一群，蜂拥地向他卷来，在这紧要关头，张树才毫不畏怯，继续前进，这时离地堡只几步远了，他迅速将夹在背后的炸药移到前身，右手一扬，迅速拉开导火线，拼着全身气力，直向地堡群扑去，口里高喊着：“只要完成任务，死亦光荣。你们来吧！”敌人一见张树才怀中炸药嗞嗞地冒烟，吓得掉头就跑。在此瞬间，突然一声巨响，熊熊的火焰腾空而起，地堡全部炸毁，英勇的张树才也壮烈地牺牲了。战士们立即</w:t>
      </w:r>
      <w:r>
        <w:rPr>
          <w:rFonts w:ascii="Arial" w:hAnsi="Arial" w:eastAsia="Arial" w:cs="Arial"/>
          <w:color w:val="auto"/>
          <w:sz w:val="24"/>
        </w:rPr>
        <w:t xml:space="preserve">踏着烈士的鲜血从炸开的缺口杀进庄去，迅速解决了战斗。</w:t>
      </w:r>
      <w:r>
        <w:rPr>
          <w:color w:val="auto"/>
        </w:rPr>
      </w:r>
      <w:r/>
    </w:p>
    <w:p>
      <w:pPr>
        <w:numPr>
          <w:ilvl w:val="0"/>
          <w:numId w:val="11"/>
        </w:numPr>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配套</w:t>
      </w:r>
      <w:r>
        <w:rPr>
          <w:rFonts w:ascii="Times New Roman" w:hAnsi="Times New Roman" w:eastAsia="Times New Roman" w:cs="Times New Roman"/>
          <w:b/>
          <w:color w:val="auto"/>
          <w:sz w:val="24"/>
        </w:rPr>
        <w:t xml:space="preserve">3D</w:t>
      </w:r>
      <w:r>
        <w:rPr>
          <w:rFonts w:ascii="SimSun" w:hAnsi="SimSun" w:eastAsia="SimSun" w:cs="SimSun"/>
          <w:b/>
          <w:color w:val="auto"/>
          <w:sz w:val="24"/>
        </w:rPr>
        <w:t xml:space="preserve">影片播放硬件系统建设</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采购清单</w:t>
      </w:r>
      <w:r>
        <w:rPr>
          <w:color w:val="auto"/>
        </w:rPr>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2"/>
        <w:gridCol w:w="1982"/>
        <w:gridCol w:w="581"/>
        <w:gridCol w:w="5702"/>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序号</w:t>
            </w:r>
            <w:r>
              <w:rPr>
                <w:color w:va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项目名称</w:t>
            </w:r>
            <w:r>
              <w:rPr>
                <w:color w:va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数量</w:t>
            </w:r>
            <w:r>
              <w:rPr>
                <w:color w:va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2"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简要技术需求或服务需求</w:t>
            </w:r>
            <w:r>
              <w:rPr>
                <w:color w:val="auto"/>
              </w:rPr>
            </w:r>
            <w:r/>
          </w:p>
        </w:tc>
      </w:tr>
      <w:tr>
        <w:trPr>
          <w:trHeight w:val="9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淮海战役</w:t>
            </w:r>
            <w:r>
              <w:rPr>
                <w:rFonts w:ascii="Times New Roman" w:hAnsi="Times New Roman" w:eastAsia="Times New Roman" w:cs="Times New Roman"/>
                <w:color w:val="auto"/>
                <w:sz w:val="24"/>
              </w:rPr>
              <w:t xml:space="preserve">3D</w:t>
            </w:r>
            <w:r>
              <w:rPr>
                <w:rFonts w:ascii="SimSun" w:hAnsi="SimSun" w:eastAsia="SimSun" w:cs="SimSun"/>
                <w:color w:val="auto"/>
                <w:sz w:val="24"/>
              </w:rPr>
              <w:t xml:space="preserve">动画制作</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套</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2"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淮海战役</w:t>
            </w:r>
            <w:r>
              <w:rPr>
                <w:rFonts w:ascii="Times New Roman" w:hAnsi="Times New Roman" w:eastAsia="Times New Roman" w:cs="Times New Roman"/>
                <w:color w:val="auto"/>
                <w:sz w:val="24"/>
              </w:rPr>
              <w:t xml:space="preserve">3D</w:t>
            </w:r>
            <w:r>
              <w:rPr>
                <w:rFonts w:ascii="SimSun" w:hAnsi="SimSun" w:eastAsia="SimSun" w:cs="SimSun"/>
                <w:color w:val="auto"/>
                <w:sz w:val="24"/>
              </w:rPr>
              <w:t xml:space="preserve">动画制作</w:t>
            </w:r>
            <w:r>
              <w:rPr>
                <w:color w:val="auto"/>
              </w:rPr>
            </w:r>
            <w:r/>
          </w:p>
        </w:tc>
      </w:tr>
      <w:tr>
        <w:trPr>
          <w:trHeight w:val="13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配套设施建设</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套</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2" w:type="dxa"/>
            <w:vAlign w:val="center"/>
            <w:textDirection w:val="lrTb"/>
            <w:noWrap w:val="false"/>
          </w:tcPr>
          <w:p>
            <w:pPr>
              <w:ind w:left="0" w:right="0" w:firstLine="0"/>
              <w:jc w:val="both"/>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egoe UI" w:hAnsi="Segoe UI" w:eastAsia="Segoe UI" w:cs="Segoe UI"/>
                <w:color w:val="auto"/>
                <w:sz w:val="24"/>
                <w:highlight w:val="white"/>
              </w:rPr>
              <w:t xml:space="preserve">涵盖从信号处理、</w:t>
            </w:r>
            <w:r>
              <w:rPr>
                <w:rFonts w:ascii="SimSun" w:hAnsi="SimSun" w:eastAsia="SimSun" w:cs="SimSun"/>
                <w:color w:val="auto"/>
                <w:sz w:val="24"/>
                <w:highlight w:val="white"/>
              </w:rPr>
              <w:t xml:space="preserve">幕布、投影</w:t>
            </w:r>
            <w:r>
              <w:rPr>
                <w:rFonts w:ascii="Segoe UI" w:hAnsi="Segoe UI" w:eastAsia="Segoe UI" w:cs="Segoe UI"/>
                <w:color w:val="auto"/>
                <w:sz w:val="24"/>
                <w:highlight w:val="white"/>
              </w:rPr>
              <w:t xml:space="preserve">、音频输出到系统控制的全流程硬件及辅材</w:t>
            </w:r>
            <w:r>
              <w:rPr>
                <w:color w:val="auto"/>
              </w:rPr>
            </w:r>
            <w:r/>
          </w:p>
        </w:tc>
      </w:tr>
      <w:tr>
        <w:trPr>
          <w:trHeight w:val="15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3</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视听设备安装空间设计方案</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项</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2" w:type="dxa"/>
            <w:vAlign w:val="center"/>
            <w:textDirection w:val="lrTb"/>
            <w:noWrap w:val="false"/>
          </w:tcPr>
          <w:p>
            <w:pPr>
              <w:ind w:left="0" w:right="0" w:firstLine="0"/>
              <w:jc w:val="both"/>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视听设备安装空间（如弧形幕布墙面尺寸、投影投射距离、音响声学环境）、影片播放区域布局条件（如后期工作站摆放空间、线路预埋需求）</w:t>
            </w:r>
            <w:r>
              <w:rPr>
                <w:color w:val="auto"/>
              </w:rPr>
            </w:r>
            <w:r/>
          </w:p>
        </w:tc>
      </w:tr>
    </w:tbl>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0"/>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w:t>
      </w:r>
      <w:r>
        <w:rPr>
          <w:rFonts w:ascii="SimSun" w:hAnsi="SimSun" w:eastAsia="SimSun" w:cs="SimSun"/>
          <w:color w:val="auto"/>
          <w:sz w:val="24"/>
        </w:rPr>
        <w:t xml:space="preserve">技术要求</w:t>
      </w:r>
      <w:r>
        <w:rPr>
          <w:color w:val="auto"/>
        </w:rPr>
      </w:r>
      <w:r/>
    </w:p>
    <w:tbl>
      <w:tblPr>
        <w:tblStyle w:val="69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Look w:val="04A0" w:firstRow="1" w:lastRow="0" w:firstColumn="1" w:lastColumn="0" w:noHBand="0" w:noVBand="1"/>
      </w:tblPr>
      <w:tblGrid>
        <w:gridCol w:w="333"/>
        <w:gridCol w:w="1136"/>
        <w:gridCol w:w="1226"/>
        <w:gridCol w:w="4899"/>
        <w:gridCol w:w="639"/>
        <w:gridCol w:w="605"/>
      </w:tblGrid>
      <w:tr>
        <w:trPr>
          <w:trHeight w:val="838"/>
        </w:trPr>
        <w:tc>
          <w:tcPr>
            <w:tcMar>
              <w:left w:w="108" w:type="dxa"/>
              <w:top w:w="0" w:type="dxa"/>
              <w:right w:w="108" w:type="dxa"/>
              <w:bottom w:w="0" w:type="dxa"/>
            </w:tcMar>
            <w:tcW w:w="333" w:type="dxa"/>
            <w:vAlign w:val="center"/>
            <w:textDirection w:val="lrTb"/>
            <w:noWrap w:val="false"/>
          </w:tcPr>
          <w:p>
            <w:pPr>
              <w:ind w:left="0" w:right="0" w:firstLine="0"/>
              <w:jc w:val="both"/>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序号</w:t>
            </w:r>
            <w:r>
              <w:rPr>
                <w:color w:val="auto"/>
              </w:rPr>
            </w:r>
            <w:r/>
          </w:p>
        </w:tc>
        <w:tc>
          <w:tcPr>
            <w:tcMar>
              <w:left w:w="108" w:type="dxa"/>
              <w:top w:w="0" w:type="dxa"/>
              <w:right w:w="108" w:type="dxa"/>
              <w:bottom w:w="0" w:type="dxa"/>
            </w:tcMar>
            <w:tcW w:w="1136"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设备名称</w:t>
            </w:r>
            <w:r>
              <w:rPr>
                <w:color w:val="auto"/>
              </w:rPr>
            </w:r>
            <w:r/>
          </w:p>
        </w:tc>
        <w:tc>
          <w:tcPr>
            <w:gridSpan w:val="2"/>
            <w:tcMar>
              <w:left w:w="108" w:type="dxa"/>
              <w:top w:w="0" w:type="dxa"/>
              <w:right w:w="108" w:type="dxa"/>
              <w:bottom w:w="0" w:type="dxa"/>
            </w:tcMar>
            <w:tcW w:w="6125"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详细技术要求</w:t>
            </w:r>
            <w:r>
              <w:rPr>
                <w:color w:val="auto"/>
              </w:rPr>
            </w:r>
            <w:r/>
          </w:p>
        </w:tc>
        <w:tc>
          <w:tcPr>
            <w:tcMar>
              <w:left w:w="108" w:type="dxa"/>
              <w:top w:w="0" w:type="dxa"/>
              <w:right w:w="108" w:type="dxa"/>
              <w:bottom w:w="0" w:type="dxa"/>
            </w:tcMar>
            <w:tcW w:w="639"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数量</w:t>
            </w:r>
            <w:r>
              <w:rPr>
                <w:color w:val="auto"/>
              </w:rPr>
            </w:r>
            <w:r/>
          </w:p>
        </w:tc>
        <w:tc>
          <w:tcPr>
            <w:tcMar>
              <w:left w:w="108" w:type="dxa"/>
              <w:top w:w="0" w:type="dxa"/>
              <w:right w:w="108" w:type="dxa"/>
              <w:bottom w:w="0" w:type="dxa"/>
            </w:tcMar>
            <w:tcW w:w="605"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单位</w:t>
            </w:r>
            <w:r>
              <w:rPr>
                <w:color w:val="auto"/>
              </w:rPr>
            </w:r>
            <w:r/>
          </w:p>
        </w:tc>
      </w:tr>
      <w:tr>
        <w:trPr>
          <w:trHeight w:val="1251"/>
        </w:trPr>
        <w:tc>
          <w:tcPr>
            <w:tcMar>
              <w:left w:w="108" w:type="dxa"/>
              <w:top w:w="0" w:type="dxa"/>
              <w:right w:w="108" w:type="dxa"/>
              <w:bottom w:w="0" w:type="dxa"/>
            </w:tcMar>
            <w:tcW w:w="333"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w:t>
            </w:r>
            <w:r>
              <w:rPr>
                <w:color w:val="auto"/>
              </w:rPr>
            </w:r>
            <w:r/>
          </w:p>
        </w:tc>
        <w:tc>
          <w:tcPr>
            <w:tcBorders>
              <w:bottom w:val="single" w:color="000000" w:sz="4" w:space="0"/>
            </w:tcBorders>
            <w:tcMar>
              <w:left w:w="108" w:type="dxa"/>
              <w:top w:w="0" w:type="dxa"/>
              <w:right w:w="108" w:type="dxa"/>
              <w:bottom w:w="0" w:type="dxa"/>
            </w:tcMar>
            <w:tcW w:w="1136"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淮海战役</w:t>
            </w:r>
            <w:r>
              <w:rPr>
                <w:rFonts w:ascii="Times New Roman" w:hAnsi="Times New Roman" w:eastAsia="Times New Roman" w:cs="Times New Roman"/>
                <w:color w:val="auto"/>
                <w:sz w:val="24"/>
              </w:rPr>
              <w:t xml:space="preserve">3D</w:t>
            </w:r>
            <w:r>
              <w:rPr>
                <w:rFonts w:ascii="SimSun" w:hAnsi="SimSun" w:eastAsia="SimSun" w:cs="SimSun"/>
                <w:color w:val="auto"/>
                <w:sz w:val="24"/>
              </w:rPr>
              <w:t xml:space="preserve">动画制作</w:t>
            </w:r>
            <w:r>
              <w:rPr>
                <w:color w:val="auto"/>
              </w:rPr>
            </w:r>
            <w:r/>
          </w:p>
        </w:tc>
        <w:tc>
          <w:tcPr>
            <w:gridSpan w:val="2"/>
            <w:tcMar>
              <w:left w:w="108" w:type="dxa"/>
              <w:top w:w="0" w:type="dxa"/>
              <w:right w:w="108" w:type="dxa"/>
              <w:bottom w:w="0" w:type="dxa"/>
            </w:tcMar>
            <w:tcW w:w="6125" w:type="dxa"/>
            <w:vAlign w:val="center"/>
            <w:textDirection w:val="lrTb"/>
            <w:noWrap w:val="false"/>
          </w:tcPr>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视频制作要具备先进的制作技术，以及充实的制作班底，拥有丰富的制作经验。编剧、导演要具备战争题材相关项目经验，提供相关证明文件。动画师、特效师具备同级别项目或大型国内项目制作经验，提供相关证明材料。投标单位需提供先进的设备供项目制作使用，并使用国内外先进的制作软件（含自主研发软件，如需可提供相关大型项目制作方案）。</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制作完成</w:t>
            </w: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部淮海战役题材</w:t>
            </w:r>
            <w:r>
              <w:rPr>
                <w:rFonts w:ascii="Times New Roman" w:hAnsi="Times New Roman" w:eastAsia="Times New Roman" w:cs="Times New Roman"/>
                <w:color w:val="auto"/>
                <w:sz w:val="24"/>
              </w:rPr>
              <w:t xml:space="preserve">3D</w:t>
            </w:r>
            <w:r>
              <w:rPr>
                <w:rFonts w:ascii="SimSun" w:hAnsi="SimSun" w:eastAsia="SimSun" w:cs="SimSun"/>
                <w:color w:val="auto"/>
                <w:sz w:val="24"/>
              </w:rPr>
              <w:t xml:space="preserve">动画影片，时长</w:t>
            </w:r>
            <w:r>
              <w:rPr>
                <w:rFonts w:ascii="Times New Roman" w:hAnsi="Times New Roman" w:eastAsia="Times New Roman" w:cs="Times New Roman"/>
                <w:color w:val="auto"/>
                <w:sz w:val="24"/>
              </w:rPr>
              <w:t xml:space="preserve">20</w:t>
            </w:r>
            <w:r>
              <w:rPr>
                <w:rFonts w:ascii="SimSun" w:hAnsi="SimSun" w:eastAsia="SimSun" w:cs="SimSun"/>
                <w:color w:val="auto"/>
                <w:sz w:val="24"/>
              </w:rPr>
              <w:t xml:space="preserve">分钟，影片分辨率 </w:t>
            </w:r>
            <w:r>
              <w:rPr>
                <w:rFonts w:ascii="Times New Roman" w:hAnsi="Times New Roman" w:eastAsia="Times New Roman" w:cs="Times New Roman"/>
                <w:color w:val="auto"/>
                <w:sz w:val="24"/>
              </w:rPr>
              <w:t xml:space="preserve">4K</w:t>
            </w:r>
            <w:r>
              <w:rPr>
                <w:rFonts w:ascii="SimSun" w:hAnsi="SimSun" w:eastAsia="SimSun" w:cs="SimSun"/>
                <w:color w:val="auto"/>
                <w:sz w:val="24"/>
              </w:rPr>
              <w:t xml:space="preserve">，全景声道，帧速率为</w:t>
            </w:r>
            <w:r>
              <w:rPr>
                <w:rFonts w:ascii="Times New Roman" w:hAnsi="Times New Roman" w:eastAsia="Times New Roman" w:cs="Times New Roman"/>
                <w:color w:val="auto"/>
                <w:sz w:val="24"/>
              </w:rPr>
              <w:t xml:space="preserve">30 </w:t>
            </w:r>
            <w:r>
              <w:rPr>
                <w:rFonts w:ascii="SimSun" w:hAnsi="SimSun" w:eastAsia="SimSun" w:cs="SimSun"/>
                <w:color w:val="auto"/>
                <w:sz w:val="24"/>
              </w:rPr>
              <w:t xml:space="preserve">帧</w:t>
            </w:r>
            <w:r>
              <w:rPr>
                <w:rFonts w:ascii="Times New Roman" w:hAnsi="Times New Roman" w:eastAsia="Times New Roman" w:cs="Times New Roman"/>
                <w:color w:val="auto"/>
                <w:sz w:val="24"/>
              </w:rPr>
              <w:t xml:space="preserve">/s</w:t>
            </w:r>
            <w:r>
              <w:rPr>
                <w:rFonts w:ascii="SimSun" w:hAnsi="SimSun" w:eastAsia="SimSun" w:cs="SimSun"/>
                <w:color w:val="auto"/>
                <w:sz w:val="24"/>
              </w:rPr>
              <w:t xml:space="preserve">。</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项目制作理念</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本项目以“技术为笔，历史为魂”为核心理念，致力于通过写实三维动画技术，精准还原历史战场原貌。采用高精度建模、</w:t>
            </w:r>
            <w:r>
              <w:rPr>
                <w:rFonts w:ascii="Times New Roman" w:hAnsi="Times New Roman" w:eastAsia="Times New Roman" w:cs="Times New Roman"/>
                <w:color w:val="auto"/>
                <w:sz w:val="24"/>
              </w:rPr>
              <w:t xml:space="preserve">PBR</w:t>
            </w:r>
            <w:r>
              <w:rPr>
                <w:rFonts w:ascii="SimSun" w:hAnsi="SimSun" w:eastAsia="SimSun" w:cs="SimSun"/>
                <w:color w:val="auto"/>
                <w:sz w:val="24"/>
              </w:rPr>
              <w:t xml:space="preserve">物理渲染及</w:t>
            </w:r>
            <w:r>
              <w:rPr>
                <w:rFonts w:ascii="Times New Roman" w:hAnsi="Times New Roman" w:eastAsia="Times New Roman" w:cs="Times New Roman"/>
                <w:color w:val="auto"/>
                <w:sz w:val="24"/>
              </w:rPr>
              <w:t xml:space="preserve">4K</w:t>
            </w:r>
            <w:r>
              <w:rPr>
                <w:rFonts w:ascii="SimSun" w:hAnsi="SimSun" w:eastAsia="SimSun" w:cs="SimSun"/>
                <w:color w:val="auto"/>
                <w:sz w:val="24"/>
              </w:rPr>
              <w:t xml:space="preserve">贴图，真实再现场景、角色与装备；结合动作捕捉与全景声技术，营造身临其境的沉浸式视听体验。通过宏大战争场面与细腻情感刻画，生动展现英雄事迹的悲壮与崇高，实现历史教育、艺术观赏与情感共鸣的深度融合。</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技术要求：</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分辨率：</w:t>
            </w:r>
            <w:r>
              <w:rPr>
                <w:rFonts w:ascii="Times New Roman" w:hAnsi="Times New Roman" w:eastAsia="Times New Roman" w:cs="Times New Roman"/>
                <w:color w:val="auto"/>
                <w:sz w:val="24"/>
              </w:rPr>
              <w:t xml:space="preserve">4K UHD (3840</w:t>
            </w: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2160)</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帧率：</w:t>
            </w:r>
            <w:r>
              <w:rPr>
                <w:rFonts w:ascii="Times New Roman" w:hAnsi="Times New Roman" w:eastAsia="Times New Roman" w:cs="Times New Roman"/>
                <w:color w:val="auto"/>
                <w:sz w:val="24"/>
              </w:rPr>
              <w:t xml:space="preserve">30fps</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编码：</w:t>
            </w:r>
            <w:r>
              <w:rPr>
                <w:rFonts w:ascii="Times New Roman" w:hAnsi="Times New Roman" w:eastAsia="Times New Roman" w:cs="Times New Roman"/>
                <w:color w:val="auto"/>
                <w:sz w:val="24"/>
              </w:rPr>
              <w:t xml:space="preserve">H.265/HEVC Main 10 @ L5.1</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色深：</w:t>
            </w:r>
            <w:r>
              <w:rPr>
                <w:rFonts w:ascii="Times New Roman" w:hAnsi="Times New Roman" w:eastAsia="Times New Roman" w:cs="Times New Roman"/>
                <w:color w:val="auto"/>
                <w:sz w:val="24"/>
              </w:rPr>
              <w:t xml:space="preserve">10bit</w:t>
            </w:r>
            <w:r>
              <w:rPr>
                <w:rFonts w:ascii="SimSun" w:hAnsi="SimSun" w:eastAsia="SimSun" w:cs="SimSun"/>
                <w:color w:val="auto"/>
                <w:sz w:val="24"/>
              </w:rPr>
              <w:t xml:space="preserve">，支持</w:t>
            </w:r>
            <w:r>
              <w:rPr>
                <w:rFonts w:ascii="Times New Roman" w:hAnsi="Times New Roman" w:eastAsia="Times New Roman" w:cs="Times New Roman"/>
                <w:color w:val="auto"/>
                <w:sz w:val="24"/>
              </w:rPr>
              <w:t xml:space="preserve">HDR</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色域：</w:t>
            </w:r>
            <w:r>
              <w:rPr>
                <w:rFonts w:ascii="Times New Roman" w:hAnsi="Times New Roman" w:eastAsia="Times New Roman" w:cs="Times New Roman"/>
                <w:color w:val="auto"/>
                <w:sz w:val="24"/>
              </w:rPr>
              <w:t xml:space="preserve">DCI-P3</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音频：</w:t>
            </w:r>
            <w:r>
              <w:rPr>
                <w:rFonts w:ascii="Times New Roman" w:hAnsi="Times New Roman" w:eastAsia="Times New Roman" w:cs="Times New Roman"/>
                <w:color w:val="auto"/>
                <w:sz w:val="24"/>
              </w:rPr>
              <w:t xml:space="preserve">Dolby Atmos / DTS:X</w:t>
            </w: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7.1.4</w:t>
            </w:r>
            <w:r>
              <w:rPr>
                <w:rFonts w:ascii="SimSun" w:hAnsi="SimSun" w:eastAsia="SimSun" w:cs="SimSun"/>
                <w:color w:val="auto"/>
                <w:sz w:val="24"/>
              </w:rPr>
              <w:t xml:space="preserve">声道，无损编码</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服务内容：涵盖剧本编写、导演执导、编剧创意、3D建模、动画制作、特效渲染、配音与音效设计等全环节。</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 </w:t>
            </w:r>
            <w:r>
              <w:rPr>
                <w:rFonts w:ascii="SimSun" w:hAnsi="SimSun" w:eastAsia="SimSun" w:cs="SimSun"/>
                <w:color w:val="auto"/>
                <w:sz w:val="24"/>
              </w:rPr>
              <w:t xml:space="preserve">所配备的技术参数及功能，必须严格按照详细技术参数要求提供，在满足功能的前提下要使用当下主流软硬件设备。投标人能够充分理解本项目需求，提交的设计方案须根据现场勘察实际情况设计，符合本项目及询价人应用要求，设计方案详尽全面，应用的技术手段先进，能前瞻性地考虑到实施应用中可能遇到的各项问题。</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3.</w:t>
            </w:r>
            <w:r>
              <w:rPr>
                <w:rFonts w:ascii="SimSun" w:hAnsi="SimSun" w:eastAsia="SimSun" w:cs="SimSun"/>
                <w:color w:val="auto"/>
                <w:sz w:val="24"/>
              </w:rPr>
              <w:t xml:space="preserve">所提供的软、硬件设备都需具有原厂（软件开发单位）授权文件，保证采购的软硬件设备不涉及相关法律责任。若因未授权而产生的所有法律责任由投标人全权负责。</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 </w:t>
            </w:r>
            <w:r>
              <w:rPr>
                <w:color w:val="auto"/>
              </w:rPr>
            </w:r>
            <w:r/>
          </w:p>
        </w:tc>
        <w:tc>
          <w:tcPr>
            <w:tcMar>
              <w:left w:w="108" w:type="dxa"/>
              <w:top w:w="0" w:type="dxa"/>
              <w:right w:w="108" w:type="dxa"/>
              <w:bottom w:w="0" w:type="dxa"/>
            </w:tcMar>
            <w:tcW w:w="639"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1</w:t>
            </w:r>
            <w:r>
              <w:rPr>
                <w:color w:val="auto"/>
              </w:rPr>
            </w:r>
            <w:r/>
          </w:p>
        </w:tc>
        <w:tc>
          <w:tcPr>
            <w:tcMar>
              <w:left w:w="108" w:type="dxa"/>
              <w:top w:w="0" w:type="dxa"/>
              <w:right w:w="108" w:type="dxa"/>
              <w:bottom w:w="0" w:type="dxa"/>
            </w:tcMar>
            <w:tcW w:w="605"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rPr>
              <w:t xml:space="preserve">套</w:t>
            </w:r>
            <w:r>
              <w:rPr>
                <w:color w:val="auto"/>
              </w:rPr>
            </w:r>
            <w:r/>
          </w:p>
        </w:tc>
      </w:tr>
      <w:tr>
        <w:trPr>
          <w:trHeight w:val="6617"/>
        </w:trPr>
        <w:tc>
          <w:tcPr>
            <w:tcBorders>
              <w:right w:val="single" w:color="000000" w:sz="4" w:space="0"/>
            </w:tcBorders>
            <w:tcMar>
              <w:left w:w="108" w:type="dxa"/>
              <w:top w:w="0" w:type="dxa"/>
              <w:right w:w="108" w:type="dxa"/>
              <w:bottom w:w="0" w:type="dxa"/>
            </w:tcMar>
            <w:tcW w:w="333" w:type="dxa"/>
            <w:vAlign w:val="center"/>
            <w:vMerge w:val="restart"/>
            <w:textDirection w:val="lrTb"/>
            <w:noWrap w:val="false"/>
          </w:tcPr>
          <w:p>
            <w:pPr>
              <w:ind w:left="0" w:right="0" w:firstLine="0"/>
              <w:jc w:val="both"/>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6" w:type="dxa"/>
            <w:vAlign w:val="center"/>
            <w:vMerge w:val="restart"/>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配套设施建设</w:t>
            </w:r>
            <w:r>
              <w:rPr>
                <w:color w:val="auto"/>
              </w:rPr>
            </w:r>
            <w:r/>
          </w:p>
        </w:tc>
        <w:tc>
          <w:tcPr>
            <w:tcBorders>
              <w:left w:val="single" w:color="000000" w:sz="4" w:space="0"/>
            </w:tcBorders>
            <w:tcMar>
              <w:left w:w="108" w:type="dxa"/>
              <w:top w:w="0" w:type="dxa"/>
              <w:right w:w="108" w:type="dxa"/>
              <w:bottom w:w="0" w:type="dxa"/>
            </w:tcMar>
            <w:tcW w:w="1226"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弧形金属幕布</w:t>
            </w:r>
            <w:r>
              <w:rPr>
                <w:color w:val="auto"/>
              </w:rPr>
            </w:r>
            <w:r/>
          </w:p>
        </w:tc>
        <w:tc>
          <w:tcPr>
            <w:tcMar>
              <w:left w:w="108" w:type="dxa"/>
              <w:top w:w="0" w:type="dxa"/>
              <w:right w:w="108" w:type="dxa"/>
              <w:bottom w:w="0" w:type="dxa"/>
            </w:tcMar>
            <w:tcW w:w="4899" w:type="dxa"/>
            <w:vAlign w:val="center"/>
            <w:textDirection w:val="lrTb"/>
            <w:noWrap w:val="false"/>
          </w:tcPr>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 投影方式：正投；</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 </w:t>
            </w:r>
            <w:r>
              <w:rPr>
                <w:rFonts w:ascii="SimSun" w:hAnsi="SimSun" w:eastAsia="SimSun" w:cs="SimSun"/>
                <w:color w:val="auto"/>
                <w:sz w:val="24"/>
              </w:rPr>
              <w:t xml:space="preserve">屏幕颜色：银灰色；</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3. </w:t>
            </w:r>
            <w:r>
              <w:rPr>
                <w:rFonts w:ascii="SimSun" w:hAnsi="SimSun" w:eastAsia="SimSun" w:cs="SimSun"/>
                <w:color w:val="auto"/>
                <w:sz w:val="24"/>
              </w:rPr>
              <w:t xml:space="preserve">粗糙程度：≤</w:t>
            </w:r>
            <w:r>
              <w:rPr>
                <w:rFonts w:ascii="Times New Roman" w:hAnsi="Times New Roman" w:eastAsia="Times New Roman" w:cs="Times New Roman"/>
                <w:color w:val="auto"/>
                <w:sz w:val="24"/>
              </w:rPr>
              <w:t xml:space="preserve">25</w:t>
            </w:r>
            <w:r>
              <w:rPr>
                <w:rFonts w:ascii="SimSun" w:hAnsi="SimSun" w:eastAsia="SimSun" w:cs="SimSun"/>
                <w:color w:val="auto"/>
                <w:sz w:val="24"/>
              </w:rPr>
              <w:t xml:space="preserve">μ</w:t>
            </w:r>
            <w:r>
              <w:rPr>
                <w:rFonts w:ascii="Times New Roman" w:hAnsi="Times New Roman" w:eastAsia="Times New Roman" w:cs="Times New Roman"/>
                <w:color w:val="auto"/>
                <w:sz w:val="24"/>
              </w:rPr>
              <w:t xml:space="preserve">m</w:t>
            </w:r>
            <w:r>
              <w:rPr>
                <w:rFonts w:ascii="SimSun" w:hAnsi="SimSun" w:eastAsia="SimSun" w:cs="SimSun"/>
                <w:color w:val="auto"/>
                <w:sz w:val="24"/>
              </w:rPr>
              <w:t xml:space="preserve">；</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4. </w:t>
            </w:r>
            <w:r>
              <w:rPr>
                <w:rFonts w:ascii="SimSun" w:hAnsi="SimSun" w:eastAsia="SimSun" w:cs="SimSun"/>
                <w:color w:val="auto"/>
                <w:sz w:val="24"/>
              </w:rPr>
              <w:t xml:space="preserve">均匀度：≥</w:t>
            </w:r>
            <w:r>
              <w:rPr>
                <w:rFonts w:ascii="Times New Roman" w:hAnsi="Times New Roman" w:eastAsia="Times New Roman" w:cs="Times New Roman"/>
                <w:color w:val="auto"/>
                <w:sz w:val="24"/>
              </w:rPr>
              <w:t xml:space="preserve">98%</w:t>
            </w:r>
            <w:r>
              <w:rPr>
                <w:rFonts w:ascii="SimSun" w:hAnsi="SimSun" w:eastAsia="SimSun" w:cs="SimSun"/>
                <w:color w:val="auto"/>
                <w:sz w:val="24"/>
              </w:rPr>
              <w:t xml:space="preserve">；</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5. </w:t>
            </w:r>
            <w:r>
              <w:rPr>
                <w:rFonts w:ascii="SimSun" w:hAnsi="SimSun" w:eastAsia="SimSun" w:cs="SimSun"/>
                <w:color w:val="auto"/>
                <w:sz w:val="24"/>
              </w:rPr>
              <w:t xml:space="preserve">色彩还原偏差：≤</w:t>
            </w:r>
            <w:r>
              <w:rPr>
                <w:rFonts w:ascii="Times New Roman" w:hAnsi="Times New Roman" w:eastAsia="Times New Roman" w:cs="Times New Roman"/>
                <w:color w:val="auto"/>
                <w:sz w:val="24"/>
              </w:rPr>
              <w:t xml:space="preserve">4%</w:t>
            </w:r>
            <w:r>
              <w:rPr>
                <w:rFonts w:ascii="SimSun" w:hAnsi="SimSun" w:eastAsia="SimSun" w:cs="SimSun"/>
                <w:color w:val="auto"/>
                <w:sz w:val="24"/>
              </w:rPr>
              <w:t xml:space="preserve">；</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6. </w:t>
            </w:r>
            <w:r>
              <w:rPr>
                <w:rFonts w:ascii="SimSun" w:hAnsi="SimSun" w:eastAsia="SimSun" w:cs="SimSun"/>
                <w:color w:val="auto"/>
                <w:sz w:val="24"/>
              </w:rPr>
              <w:t xml:space="preserve">屏幕解像率：≥</w:t>
            </w:r>
            <w:r>
              <w:rPr>
                <w:rFonts w:ascii="Times New Roman" w:hAnsi="Times New Roman" w:eastAsia="Times New Roman" w:cs="Times New Roman"/>
                <w:color w:val="auto"/>
                <w:sz w:val="24"/>
              </w:rPr>
              <w:t xml:space="preserve">125 </w:t>
            </w:r>
            <w:r>
              <w:rPr>
                <w:rFonts w:ascii="SimSun" w:hAnsi="SimSun" w:eastAsia="SimSun" w:cs="SimSun"/>
                <w:color w:val="auto"/>
                <w:sz w:val="24"/>
              </w:rPr>
              <w:t xml:space="preserve">线</w:t>
            </w:r>
            <w:r>
              <w:rPr>
                <w:rFonts w:ascii="Times New Roman" w:hAnsi="Times New Roman" w:eastAsia="Times New Roman" w:cs="Times New Roman"/>
                <w:color w:val="auto"/>
                <w:sz w:val="24"/>
              </w:rPr>
              <w:t xml:space="preserve">/mm</w:t>
            </w:r>
            <w:r>
              <w:rPr>
                <w:rFonts w:ascii="SimSun" w:hAnsi="SimSun" w:eastAsia="SimSun" w:cs="SimSun"/>
                <w:color w:val="auto"/>
                <w:sz w:val="24"/>
              </w:rPr>
              <w:t xml:space="preserve">；</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7. </w:t>
            </w:r>
            <w:r>
              <w:rPr>
                <w:rFonts w:ascii="SimSun" w:hAnsi="SimSun" w:eastAsia="SimSun" w:cs="SimSun"/>
                <w:color w:val="auto"/>
                <w:sz w:val="24"/>
              </w:rPr>
              <w:t xml:space="preserve">偏振光还原性：≥</w:t>
            </w:r>
            <w:r>
              <w:rPr>
                <w:rFonts w:ascii="Times New Roman" w:hAnsi="Times New Roman" w:eastAsia="Times New Roman" w:cs="Times New Roman"/>
                <w:color w:val="auto"/>
                <w:sz w:val="24"/>
              </w:rPr>
              <w:t xml:space="preserve">150</w:t>
            </w: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8. </w:t>
            </w:r>
            <w:r>
              <w:rPr>
                <w:rFonts w:ascii="SimSun" w:hAnsi="SimSun" w:eastAsia="SimSun" w:cs="SimSun"/>
                <w:color w:val="auto"/>
                <w:sz w:val="24"/>
              </w:rPr>
              <w:t xml:space="preserve">入射角度：约</w:t>
            </w:r>
            <w:r>
              <w:rPr>
                <w:rFonts w:ascii="Times New Roman" w:hAnsi="Times New Roman" w:eastAsia="Times New Roman" w:cs="Times New Roman"/>
                <w:color w:val="auto"/>
                <w:sz w:val="24"/>
              </w:rPr>
              <w:t xml:space="preserve">18</w:t>
            </w:r>
            <w:r>
              <w:rPr>
                <w:rFonts w:ascii="SimSun" w:hAnsi="SimSun" w:eastAsia="SimSun" w:cs="SimSun"/>
                <w:color w:val="auto"/>
                <w:sz w:val="24"/>
              </w:rPr>
              <w:t xml:space="preserve">度±</w:t>
            </w:r>
            <w:r>
              <w:rPr>
                <w:rFonts w:ascii="Times New Roman" w:hAnsi="Times New Roman" w:eastAsia="Times New Roman" w:cs="Times New Roman"/>
                <w:color w:val="auto"/>
                <w:sz w:val="24"/>
              </w:rPr>
              <w:t xml:space="preserve">5</w:t>
            </w:r>
            <w:r>
              <w:rPr>
                <w:rFonts w:ascii="SimSun" w:hAnsi="SimSun" w:eastAsia="SimSun" w:cs="SimSun"/>
                <w:color w:val="auto"/>
                <w:sz w:val="24"/>
              </w:rPr>
              <w:t xml:space="preserve">度；</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9. </w:t>
            </w:r>
            <w:r>
              <w:rPr>
                <w:rFonts w:ascii="SimSun" w:hAnsi="SimSun" w:eastAsia="SimSun" w:cs="SimSun"/>
                <w:color w:val="auto"/>
                <w:sz w:val="24"/>
              </w:rPr>
              <w:t xml:space="preserve">适应明亮环境：</w:t>
            </w:r>
            <w:r>
              <w:rPr>
                <w:rFonts w:ascii="Times New Roman" w:hAnsi="Times New Roman" w:eastAsia="Times New Roman" w:cs="Times New Roman"/>
                <w:color w:val="auto"/>
                <w:sz w:val="24"/>
              </w:rPr>
              <w:t xml:space="preserve">50</w:t>
            </w: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200LUX </w:t>
            </w:r>
            <w:r>
              <w:rPr>
                <w:rFonts w:ascii="SimSun" w:hAnsi="SimSun" w:eastAsia="SimSun" w:cs="SimSun"/>
                <w:color w:val="auto"/>
                <w:sz w:val="24"/>
              </w:rPr>
              <w:t xml:space="preserve">室内；</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10. </w:t>
            </w:r>
            <w:r>
              <w:rPr>
                <w:rFonts w:ascii="SimSun" w:hAnsi="SimSun" w:eastAsia="SimSun" w:cs="SimSun"/>
                <w:color w:val="auto"/>
                <w:sz w:val="24"/>
              </w:rPr>
              <w:t xml:space="preserve">光学增益：≥</w:t>
            </w:r>
            <w:r>
              <w:rPr>
                <w:rFonts w:ascii="Times New Roman" w:hAnsi="Times New Roman" w:eastAsia="Times New Roman" w:cs="Times New Roman"/>
                <w:color w:val="auto"/>
                <w:sz w:val="24"/>
              </w:rPr>
              <w:t xml:space="preserve">1.8</w:t>
            </w:r>
            <w:r>
              <w:rPr>
                <w:rFonts w:ascii="SimSun" w:hAnsi="SimSun" w:eastAsia="SimSun" w:cs="SimSun"/>
                <w:color w:val="auto"/>
                <w:sz w:val="24"/>
              </w:rPr>
              <w:t xml:space="preserve">；</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11. </w:t>
            </w:r>
            <w:r>
              <w:rPr>
                <w:rFonts w:ascii="SimSun" w:hAnsi="SimSun" w:eastAsia="SimSun" w:cs="SimSun"/>
                <w:color w:val="auto"/>
                <w:sz w:val="24"/>
              </w:rPr>
              <w:t xml:space="preserve">水平视角：≥</w:t>
            </w:r>
            <w:r>
              <w:rPr>
                <w:rFonts w:ascii="Times New Roman" w:hAnsi="Times New Roman" w:eastAsia="Times New Roman" w:cs="Times New Roman"/>
                <w:color w:val="auto"/>
                <w:sz w:val="24"/>
              </w:rPr>
              <w:t xml:space="preserve">90</w:t>
            </w:r>
            <w:r>
              <w:rPr>
                <w:rFonts w:ascii="SimSun" w:hAnsi="SimSun" w:eastAsia="SimSun" w:cs="SimSun"/>
                <w:color w:val="auto"/>
                <w:sz w:val="24"/>
              </w:rPr>
              <w:t xml:space="preserve">°，垂直视角：≥</w:t>
            </w:r>
            <w:r>
              <w:rPr>
                <w:rFonts w:ascii="Times New Roman" w:hAnsi="Times New Roman" w:eastAsia="Times New Roman" w:cs="Times New Roman"/>
                <w:color w:val="auto"/>
                <w:sz w:val="24"/>
              </w:rPr>
              <w:t xml:space="preserve">80</w:t>
            </w:r>
            <w:r>
              <w:rPr>
                <w:rFonts w:ascii="SimSun" w:hAnsi="SimSun" w:eastAsia="SimSun" w:cs="SimSun"/>
                <w:color w:val="auto"/>
                <w:sz w:val="24"/>
              </w:rPr>
              <w:t xml:space="preserve">°；</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12. </w:t>
            </w:r>
            <w:r>
              <w:rPr>
                <w:rFonts w:ascii="SimSun" w:hAnsi="SimSun" w:eastAsia="SimSun" w:cs="SimSun"/>
                <w:color w:val="auto"/>
                <w:sz w:val="24"/>
              </w:rPr>
              <w:t xml:space="preserve">屏幕拼接缝隙：无；</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13. </w:t>
            </w:r>
            <w:r>
              <w:rPr>
                <w:rFonts w:ascii="SimSun" w:hAnsi="SimSun" w:eastAsia="SimSun" w:cs="SimSun"/>
                <w:color w:val="auto"/>
                <w:sz w:val="24"/>
              </w:rPr>
              <w:t xml:space="preserve">工作环境：温度 </w:t>
            </w:r>
            <w:r>
              <w:rPr>
                <w:rFonts w:ascii="Times New Roman" w:hAnsi="Times New Roman" w:eastAsia="Times New Roman" w:cs="Times New Roman"/>
                <w:color w:val="auto"/>
                <w:sz w:val="24"/>
              </w:rPr>
              <w:t xml:space="preserve">- 40</w:t>
            </w: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90</w:t>
            </w:r>
            <w:r>
              <w:rPr>
                <w:rFonts w:ascii="SimSun" w:hAnsi="SimSun" w:eastAsia="SimSun" w:cs="SimSun"/>
                <w:color w:val="auto"/>
                <w:sz w:val="24"/>
              </w:rPr>
              <w:t xml:space="preserve">℃，湿度 </w:t>
            </w:r>
            <w:r>
              <w:rPr>
                <w:rFonts w:ascii="Times New Roman" w:hAnsi="Times New Roman" w:eastAsia="Times New Roman" w:cs="Times New Roman"/>
                <w:color w:val="auto"/>
                <w:sz w:val="24"/>
              </w:rPr>
              <w:t xml:space="preserve">30%</w:t>
            </w: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90%</w:t>
            </w:r>
            <w:r>
              <w:rPr>
                <w:rFonts w:ascii="SimSun" w:hAnsi="SimSun" w:eastAsia="SimSun" w:cs="SimSun"/>
                <w:color w:val="auto"/>
                <w:sz w:val="24"/>
              </w:rPr>
              <w:t xml:space="preserve">；</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14. </w:t>
            </w:r>
            <w:r>
              <w:rPr>
                <w:rFonts w:ascii="SimSun" w:hAnsi="SimSun" w:eastAsia="SimSun" w:cs="SimSun"/>
                <w:color w:val="auto"/>
                <w:sz w:val="24"/>
              </w:rPr>
              <w:t xml:space="preserve">边框：采用铝合金材质，宽度≥</w:t>
            </w:r>
            <w:r>
              <w:rPr>
                <w:rFonts w:ascii="Times New Roman" w:hAnsi="Times New Roman" w:eastAsia="Times New Roman" w:cs="Times New Roman"/>
                <w:color w:val="auto"/>
                <w:sz w:val="24"/>
              </w:rPr>
              <w:t xml:space="preserve">65mm</w:t>
            </w:r>
            <w:r>
              <w:rPr>
                <w:rFonts w:ascii="SimSun" w:hAnsi="SimSun" w:eastAsia="SimSun" w:cs="SimSun"/>
                <w:color w:val="auto"/>
                <w:sz w:val="24"/>
              </w:rPr>
              <w:t xml:space="preserve">，表面包覆处理，幕面与框架采用卡扣形式固定；</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15. </w:t>
            </w:r>
            <w:r>
              <w:rPr>
                <w:rFonts w:ascii="SimSun" w:hAnsi="SimSun" w:eastAsia="SimSun" w:cs="SimSun"/>
                <w:color w:val="auto"/>
                <w:sz w:val="24"/>
              </w:rPr>
              <w:t xml:space="preserve">提供甲醛检测合格报告扫描件</w:t>
            </w:r>
            <w:r>
              <w:rPr>
                <w:color w:val="auto"/>
              </w:rPr>
            </w:r>
            <w:r/>
          </w:p>
        </w:tc>
        <w:tc>
          <w:tcPr>
            <w:tcMar>
              <w:left w:w="108" w:type="dxa"/>
              <w:top w:w="0" w:type="dxa"/>
              <w:right w:w="108" w:type="dxa"/>
              <w:bottom w:w="0" w:type="dxa"/>
            </w:tcMar>
            <w:tcW w:w="639"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约 60</w:t>
            </w:r>
            <w:r>
              <w:rPr>
                <w:color w:val="auto"/>
              </w:rPr>
            </w:r>
            <w:r/>
          </w:p>
        </w:tc>
        <w:tc>
          <w:tcPr>
            <w:tcMar>
              <w:left w:w="108" w:type="dxa"/>
              <w:top w:w="0" w:type="dxa"/>
              <w:right w:w="108" w:type="dxa"/>
              <w:bottom w:w="0" w:type="dxa"/>
            </w:tcMar>
            <w:tcW w:w="605"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平方</w:t>
            </w:r>
            <w:r>
              <w:rPr>
                <w:color w:val="auto"/>
              </w:rPr>
            </w:r>
            <w:r/>
          </w:p>
        </w:tc>
      </w:tr>
      <w:tr>
        <w:trPr>
          <w:trHeight w:val="2808"/>
        </w:trPr>
        <w:tc>
          <w:tcPr>
            <w:tcBorders>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left w:val="single" w:color="000000" w:sz="4" w:space="0"/>
            </w:tcBorders>
            <w:tcMar>
              <w:left w:w="108" w:type="dxa"/>
              <w:top w:w="0" w:type="dxa"/>
              <w:right w:w="108" w:type="dxa"/>
              <w:bottom w:w="0" w:type="dxa"/>
            </w:tcMar>
            <w:tcW w:w="1226"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投影机</w:t>
            </w:r>
            <w:r>
              <w:rPr>
                <w:color w:val="auto"/>
              </w:rPr>
            </w:r>
            <w:r/>
          </w:p>
        </w:tc>
        <w:tc>
          <w:tcPr>
            <w:tcMar>
              <w:left w:w="108" w:type="dxa"/>
              <w:top w:w="0" w:type="dxa"/>
              <w:right w:w="108" w:type="dxa"/>
              <w:bottom w:w="0" w:type="dxa"/>
            </w:tcMar>
            <w:tcW w:w="4899" w:type="dxa"/>
            <w:vAlign w:val="center"/>
            <w:textDirection w:val="lrTb"/>
            <w:noWrap w:val="false"/>
          </w:tcPr>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1.物理原生分辨率≥4K（3840×2400像素），非抖动分辨率；</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2.亮度：ISO亮度≥11000流明；</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3.对比度：对比度≥25000:1；</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4.投影技术：采用DLP™技术，配备≥1颗DLP芯片，芯片对角线尺寸≥0.8英寸（宽高比16:10）； </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5.光源: 采用激光光源，光源使用周期≥20000小时，支持7×24小时稳定运行；</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6.全密闭光引擎，防尘等级不低于IP5X；</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7.具备对比度同步和快门同步功能；</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8.具备多台投影机亮度色彩控制技术，可通过多台投影机内部的色彩亮度传感器自动同步多台投影机的亮度色彩，提高多台投影画面的一致性；</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9.支持240Hz的帧速度；</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10.支持灰度平滑器功能，可以减少灰度等级差异，提高色彩深度。</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11.支持曲面黑电平调整功能，可使用17个控制点进行黑色边缘调整，提升曲面屏幕融合效果，即使近距离观看屏幕时，也不会看到融合痕迹。</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12.支持调整图像显示区域外的黑电平，可消除应用几何图像校正后在图像显示区域外融合部分的失调黑电平，优化多屏无缝拼接效果。</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13.支持NFC功能，可以在未开机前对投影机进行预设置</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14.采用全液体冷却和密闭性光学模块，20000小时免维护运行。</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15.备份信号输入功能</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16.强光感应功能，投影机内置光线传感器可以实时测量房间亮度，并实时调节投影图像的色调和亮度，以适应周围照明条件；</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17.支持可更换镜头，可选配镜头数量≥5款；</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18.支持快速启动/快速关机；</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19.标配接口：HDMI接口≥2个（支持HDCP2.3、4K/60p、饱和色）、DisplayPort接口≥1个（支持HDCP2.3、4K/60p、饱和色）、多台投影机同步接口≥1进1出（BNC接口）、RS232接口≥1进1出（D-sub9-pin，分别为阴/阳接口）、RJ45接口≥1个（支持PJLink™Class2、10Base-T/100Base-TX、Art-Net）、USBTypeA接口≥2个、扩展槽≥1个；</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20.证明投标产品合法来源的书面材料【厂商项目授权原件扫描件】；</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21.厂商售后服务承诺原件扫描件；</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22.需提供证明投标产品实质性满足招标要求的有效证明资料；</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23.节能环保证书；</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24.生产厂家与品牌厂家为统一品牌厂家，不接受OEM产品(CCC中国国家强制认证证书)。</w:t>
            </w:r>
            <w:r>
              <w:rPr>
                <w:color w:val="auto"/>
              </w:rPr>
            </w:r>
            <w:r/>
          </w:p>
        </w:tc>
        <w:tc>
          <w:tcPr>
            <w:tcMar>
              <w:left w:w="108" w:type="dxa"/>
              <w:top w:w="0" w:type="dxa"/>
              <w:right w:w="108" w:type="dxa"/>
              <w:bottom w:w="0" w:type="dxa"/>
            </w:tcMar>
            <w:tcW w:w="639"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w:t>
            </w:r>
            <w:r>
              <w:rPr>
                <w:color w:val="auto"/>
              </w:rPr>
            </w:r>
            <w:r/>
          </w:p>
        </w:tc>
        <w:tc>
          <w:tcPr>
            <w:tcMar>
              <w:left w:w="108" w:type="dxa"/>
              <w:top w:w="0" w:type="dxa"/>
              <w:right w:w="108" w:type="dxa"/>
              <w:bottom w:w="0" w:type="dxa"/>
            </w:tcMar>
            <w:tcW w:w="605"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台</w:t>
            </w:r>
            <w:r>
              <w:rPr>
                <w:color w:val="auto"/>
              </w:rPr>
            </w:r>
            <w:r/>
          </w:p>
        </w:tc>
      </w:tr>
      <w:tr>
        <w:trPr>
          <w:trHeight w:val="478"/>
        </w:trPr>
        <w:tc>
          <w:tcPr>
            <w:tcBorders>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left w:val="single" w:color="000000" w:sz="4" w:space="0"/>
            </w:tcBorders>
            <w:tcMar>
              <w:left w:w="108" w:type="dxa"/>
              <w:top w:w="0" w:type="dxa"/>
              <w:right w:w="108" w:type="dxa"/>
              <w:bottom w:w="0" w:type="dxa"/>
            </w:tcMar>
            <w:tcW w:w="1226"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镜头</w:t>
            </w:r>
            <w:r>
              <w:rPr>
                <w:color w:val="auto"/>
              </w:rPr>
            </w:r>
            <w:r/>
          </w:p>
        </w:tc>
        <w:tc>
          <w:tcPr>
            <w:tcMar>
              <w:left w:w="108" w:type="dxa"/>
              <w:top w:w="0" w:type="dxa"/>
              <w:right w:w="108" w:type="dxa"/>
              <w:bottom w:w="0" w:type="dxa"/>
            </w:tcMar>
            <w:tcW w:w="4899" w:type="dxa"/>
            <w:vAlign w:val="center"/>
            <w:textDirection w:val="lrTb"/>
            <w:noWrap w:val="false"/>
          </w:tcPr>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根据现场实际安装需求匹配，适配所投投影机</w:t>
            </w:r>
            <w:r>
              <w:rPr>
                <w:color w:val="auto"/>
              </w:rPr>
            </w:r>
            <w:r/>
          </w:p>
        </w:tc>
        <w:tc>
          <w:tcPr>
            <w:tcMar>
              <w:left w:w="108" w:type="dxa"/>
              <w:top w:w="0" w:type="dxa"/>
              <w:right w:w="108" w:type="dxa"/>
              <w:bottom w:w="0" w:type="dxa"/>
            </w:tcMar>
            <w:tcW w:w="639"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w:t>
            </w:r>
            <w:r>
              <w:rPr>
                <w:color w:val="auto"/>
              </w:rPr>
            </w:r>
            <w:r/>
          </w:p>
        </w:tc>
        <w:tc>
          <w:tcPr>
            <w:tcMar>
              <w:left w:w="108" w:type="dxa"/>
              <w:top w:w="0" w:type="dxa"/>
              <w:right w:w="108" w:type="dxa"/>
              <w:bottom w:w="0" w:type="dxa"/>
            </w:tcMar>
            <w:tcW w:w="605"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支</w:t>
            </w:r>
            <w:r>
              <w:rPr>
                <w:color w:val="auto"/>
              </w:rPr>
            </w:r>
            <w:r/>
          </w:p>
        </w:tc>
      </w:tr>
      <w:tr>
        <w:trPr>
          <w:trHeight w:val="478"/>
        </w:trPr>
        <w:tc>
          <w:tcPr>
            <w:tcBorders>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left w:val="single" w:color="000000" w:sz="4" w:space="0"/>
            </w:tcBorders>
            <w:tcMar>
              <w:left w:w="108" w:type="dxa"/>
              <w:top w:w="0" w:type="dxa"/>
              <w:right w:w="108" w:type="dxa"/>
              <w:bottom w:w="0" w:type="dxa"/>
            </w:tcMar>
            <w:tcW w:w="1226"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硬件融合器</w:t>
            </w:r>
            <w:r>
              <w:rPr>
                <w:color w:val="auto"/>
              </w:rPr>
            </w:r>
            <w:r/>
          </w:p>
        </w:tc>
        <w:tc>
          <w:tcPr>
            <w:tcMar>
              <w:left w:w="108" w:type="dxa"/>
              <w:top w:w="0" w:type="dxa"/>
              <w:right w:w="108" w:type="dxa"/>
              <w:bottom w:w="0" w:type="dxa"/>
            </w:tcMar>
            <w:tcW w:w="4899" w:type="dxa"/>
            <w:vAlign w:val="center"/>
            <w:textDirection w:val="lrTb"/>
            <w:noWrap w:val="false"/>
          </w:tcPr>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 架构：纯硬件式FPGA+DSP芯片构架，无操作系统；</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 机箱：采用标准 1U 及以上机箱设计，支持多台设备级联；</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 输入：支持≥1 路高清 8K 输入、≥1路高清8K环接输出，≥1 路3.5mm音频输出；</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 输出：单机支持≥4 路高清融合输出，支持任意形状曲面网格式矫正（像素级调整，节点数≥2×2），支持网格透视蒙版及异形遮罩功能；</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 支持≥255×255种底背景色彩测试图像，具备多阶色彩校正及暗场调试功能；</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6. 图像处理：延迟≤0.1 秒，支持内置融合消影 gamma 曲线及自定义 gamma 曲线；</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7. 支持 0-360° 任意角度旋转拼接融合功能；</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8. 支持 EDID 配置管理及非标分辨率自定义（单口支持分辨率≥4K）</w:t>
            </w:r>
            <w:r>
              <w:rPr>
                <w:color w:val="auto"/>
              </w:rPr>
            </w:r>
            <w:r/>
          </w:p>
        </w:tc>
        <w:tc>
          <w:tcPr>
            <w:tcMar>
              <w:left w:w="108" w:type="dxa"/>
              <w:top w:w="0" w:type="dxa"/>
              <w:right w:w="108" w:type="dxa"/>
              <w:bottom w:w="0" w:type="dxa"/>
            </w:tcMar>
            <w:tcW w:w="639"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w:t>
            </w:r>
            <w:r>
              <w:rPr>
                <w:color w:val="auto"/>
              </w:rPr>
            </w:r>
            <w:r/>
          </w:p>
        </w:tc>
        <w:tc>
          <w:tcPr>
            <w:tcMar>
              <w:left w:w="108" w:type="dxa"/>
              <w:top w:w="0" w:type="dxa"/>
              <w:right w:w="108" w:type="dxa"/>
              <w:bottom w:w="0" w:type="dxa"/>
            </w:tcMar>
            <w:tcW w:w="605"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台</w:t>
            </w:r>
            <w:r>
              <w:rPr>
                <w:color w:val="auto"/>
              </w:rPr>
            </w:r>
            <w:r/>
          </w:p>
        </w:tc>
      </w:tr>
      <w:tr>
        <w:trPr>
          <w:trHeight w:val="1876"/>
        </w:trPr>
        <w:tc>
          <w:tcPr>
            <w:tcBorders>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left w:val="single" w:color="000000" w:sz="4" w:space="0"/>
            </w:tcBorders>
            <w:tcMar>
              <w:left w:w="108" w:type="dxa"/>
              <w:top w:w="0" w:type="dxa"/>
              <w:right w:w="108" w:type="dxa"/>
              <w:bottom w:w="0" w:type="dxa"/>
            </w:tcMar>
            <w:tcW w:w="1226"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立体投影偏振片</w:t>
            </w:r>
            <w:r>
              <w:rPr>
                <w:color w:val="auto"/>
              </w:rPr>
            </w:r>
            <w:r/>
          </w:p>
        </w:tc>
        <w:tc>
          <w:tcPr>
            <w:tcMar>
              <w:left w:w="108" w:type="dxa"/>
              <w:top w:w="0" w:type="dxa"/>
              <w:right w:w="108" w:type="dxa"/>
              <w:bottom w:w="0" w:type="dxa"/>
            </w:tcMar>
            <w:tcW w:w="4899" w:type="dxa"/>
            <w:vAlign w:val="center"/>
            <w:textDirection w:val="lrTb"/>
            <w:noWrap w:val="false"/>
          </w:tcPr>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 厚度：约2.4mm；</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 尺寸：≥15×15cm；</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 用途：双机 3D 偏光投影；</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 偏振角度：45-135 度</w:t>
            </w:r>
            <w:r>
              <w:rPr>
                <w:color w:val="auto"/>
              </w:rPr>
            </w:r>
            <w:r/>
          </w:p>
        </w:tc>
        <w:tc>
          <w:tcPr>
            <w:tcMar>
              <w:left w:w="108" w:type="dxa"/>
              <w:top w:w="0" w:type="dxa"/>
              <w:right w:w="108" w:type="dxa"/>
              <w:bottom w:w="0" w:type="dxa"/>
            </w:tcMar>
            <w:tcW w:w="639"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w:t>
            </w:r>
            <w:r>
              <w:rPr>
                <w:color w:val="auto"/>
              </w:rPr>
            </w:r>
            <w:r/>
          </w:p>
        </w:tc>
        <w:tc>
          <w:tcPr>
            <w:tcMar>
              <w:left w:w="108" w:type="dxa"/>
              <w:top w:w="0" w:type="dxa"/>
              <w:right w:w="108" w:type="dxa"/>
              <w:bottom w:w="0" w:type="dxa"/>
            </w:tcMar>
            <w:tcW w:w="605"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套</w:t>
            </w:r>
            <w:r>
              <w:rPr>
                <w:color w:val="auto"/>
              </w:rPr>
            </w:r>
            <w:r/>
          </w:p>
        </w:tc>
      </w:tr>
      <w:tr>
        <w:trPr>
          <w:trHeight w:val="944"/>
        </w:trPr>
        <w:tc>
          <w:tcPr>
            <w:tcBorders>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left w:val="single" w:color="000000" w:sz="4" w:space="0"/>
            </w:tcBorders>
            <w:tcMar>
              <w:left w:w="108" w:type="dxa"/>
              <w:top w:w="0" w:type="dxa"/>
              <w:right w:w="108" w:type="dxa"/>
              <w:bottom w:w="0" w:type="dxa"/>
            </w:tcMar>
            <w:tcW w:w="1226"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投影机支架</w:t>
            </w:r>
            <w:r>
              <w:rPr>
                <w:color w:val="auto"/>
              </w:rPr>
            </w:r>
            <w:r/>
          </w:p>
        </w:tc>
        <w:tc>
          <w:tcPr>
            <w:tcMar>
              <w:left w:w="108" w:type="dxa"/>
              <w:top w:w="0" w:type="dxa"/>
              <w:right w:w="108" w:type="dxa"/>
              <w:bottom w:w="0" w:type="dxa"/>
            </w:tcMar>
            <w:tcW w:w="4899" w:type="dxa"/>
            <w:vAlign w:val="center"/>
            <w:textDirection w:val="lrTb"/>
            <w:noWrap w:val="false"/>
          </w:tcPr>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 类型：工程投影机双层吊笼；2. 伸缩范围：约 1.5-3 米；3. 承重：≥60KG</w:t>
            </w:r>
            <w:r>
              <w:rPr>
                <w:color w:val="auto"/>
              </w:rPr>
            </w:r>
            <w:r/>
          </w:p>
        </w:tc>
        <w:tc>
          <w:tcPr>
            <w:tcMar>
              <w:left w:w="108" w:type="dxa"/>
              <w:top w:w="0" w:type="dxa"/>
              <w:right w:w="108" w:type="dxa"/>
              <w:bottom w:w="0" w:type="dxa"/>
            </w:tcMar>
            <w:tcW w:w="639"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w:t>
            </w:r>
            <w:r>
              <w:rPr>
                <w:color w:val="auto"/>
              </w:rPr>
            </w:r>
            <w:r/>
          </w:p>
        </w:tc>
        <w:tc>
          <w:tcPr>
            <w:tcMar>
              <w:left w:w="108" w:type="dxa"/>
              <w:top w:w="0" w:type="dxa"/>
              <w:right w:w="108" w:type="dxa"/>
              <w:bottom w:w="0" w:type="dxa"/>
            </w:tcMar>
            <w:tcW w:w="605"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套</w:t>
            </w:r>
            <w:r>
              <w:rPr>
                <w:color w:val="auto"/>
              </w:rPr>
            </w:r>
            <w:r/>
          </w:p>
        </w:tc>
      </w:tr>
      <w:tr>
        <w:trPr>
          <w:trHeight w:val="557"/>
        </w:trPr>
        <w:tc>
          <w:tcPr>
            <w:tcBorders>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left w:val="single" w:color="000000" w:sz="4" w:space="0"/>
            </w:tcBorders>
            <w:tcMar>
              <w:left w:w="108" w:type="dxa"/>
              <w:top w:w="0" w:type="dxa"/>
              <w:right w:w="108" w:type="dxa"/>
              <w:bottom w:w="0" w:type="dxa"/>
            </w:tcMar>
            <w:tcW w:w="1226"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播放服务器</w:t>
            </w:r>
            <w:r>
              <w:rPr>
                <w:color w:val="auto"/>
              </w:rPr>
            </w:r>
            <w:r/>
          </w:p>
        </w:tc>
        <w:tc>
          <w:tcPr>
            <w:tcMar>
              <w:left w:w="108" w:type="dxa"/>
              <w:top w:w="0" w:type="dxa"/>
              <w:right w:w="108" w:type="dxa"/>
              <w:bottom w:w="0" w:type="dxa"/>
            </w:tcMar>
            <w:tcW w:w="4899" w:type="dxa"/>
            <w:vAlign w:val="center"/>
            <w:textDirection w:val="lrTb"/>
            <w:noWrap w:val="false"/>
          </w:tcPr>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 架构：嵌入式纯硬件架构，高度约 3U 或 4U；</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 运行性能：支持7×24小时运行，开机自运行时间≤10秒，支持4K解码；</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 存储：标配硬盘容量≥250G（支持 64G-2T 扩容）；</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 配置：处理器≥i7级，显卡显存≥6G，支持 4K 解码器；</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 操作：支持手机、键盘调试，自动计算融合带亮度，支持热插拔，断电停用后即插即用；</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6. 输出：支持多路同步输出（无撕裂），支持≥1 路 16K 视频解码或≥32 路 1920x1080 视频解码</w:t>
            </w:r>
            <w:r>
              <w:rPr>
                <w:color w:val="auto"/>
              </w:rPr>
            </w:r>
            <w:r/>
          </w:p>
        </w:tc>
        <w:tc>
          <w:tcPr>
            <w:tcMar>
              <w:left w:w="108" w:type="dxa"/>
              <w:top w:w="0" w:type="dxa"/>
              <w:right w:w="108" w:type="dxa"/>
              <w:bottom w:w="0" w:type="dxa"/>
            </w:tcMar>
            <w:tcW w:w="639"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w:t>
            </w:r>
            <w:r>
              <w:rPr>
                <w:color w:val="auto"/>
              </w:rPr>
            </w:r>
            <w:r/>
          </w:p>
        </w:tc>
        <w:tc>
          <w:tcPr>
            <w:tcMar>
              <w:left w:w="108" w:type="dxa"/>
              <w:top w:w="0" w:type="dxa"/>
              <w:right w:w="108" w:type="dxa"/>
              <w:bottom w:w="0" w:type="dxa"/>
            </w:tcMar>
            <w:tcW w:w="605"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台</w:t>
            </w:r>
            <w:r>
              <w:rPr>
                <w:color w:val="auto"/>
              </w:rPr>
            </w:r>
            <w:r/>
          </w:p>
        </w:tc>
      </w:tr>
      <w:tr>
        <w:trPr>
          <w:trHeight w:val="478"/>
        </w:trPr>
        <w:tc>
          <w:tcPr>
            <w:tcBorders>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left w:val="single" w:color="000000" w:sz="4" w:space="0"/>
            </w:tcBorders>
            <w:tcMar>
              <w:left w:w="108" w:type="dxa"/>
              <w:top w:w="0" w:type="dxa"/>
              <w:right w:w="108" w:type="dxa"/>
              <w:bottom w:w="0" w:type="dxa"/>
            </w:tcMar>
            <w:tcW w:w="1226"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辅材</w:t>
            </w:r>
            <w:r>
              <w:rPr>
                <w:color w:val="auto"/>
              </w:rPr>
            </w:r>
            <w:r/>
          </w:p>
        </w:tc>
        <w:tc>
          <w:tcPr>
            <w:tcMar>
              <w:left w:w="108" w:type="dxa"/>
              <w:top w:w="0" w:type="dxa"/>
              <w:right w:w="108" w:type="dxa"/>
              <w:bottom w:w="0" w:type="dxa"/>
            </w:tcMar>
            <w:tcW w:w="4899" w:type="dxa"/>
            <w:vAlign w:val="center"/>
            <w:textDirection w:val="lrTb"/>
            <w:noWrap w:val="false"/>
          </w:tcPr>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含 HDMI 高清线（长度≥20 米）及电源线</w:t>
            </w:r>
            <w:r>
              <w:rPr>
                <w:color w:val="auto"/>
              </w:rPr>
            </w:r>
            <w:r/>
          </w:p>
        </w:tc>
        <w:tc>
          <w:tcPr>
            <w:tcMar>
              <w:left w:w="108" w:type="dxa"/>
              <w:top w:w="0" w:type="dxa"/>
              <w:right w:w="108" w:type="dxa"/>
              <w:bottom w:w="0" w:type="dxa"/>
            </w:tcMar>
            <w:tcW w:w="639"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w:t>
            </w:r>
            <w:r>
              <w:rPr>
                <w:color w:val="auto"/>
              </w:rPr>
            </w:r>
            <w:r/>
          </w:p>
        </w:tc>
        <w:tc>
          <w:tcPr>
            <w:tcMar>
              <w:left w:w="108" w:type="dxa"/>
              <w:top w:w="0" w:type="dxa"/>
              <w:right w:w="108" w:type="dxa"/>
              <w:bottom w:w="0" w:type="dxa"/>
            </w:tcMar>
            <w:tcW w:w="605"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项</w:t>
            </w:r>
            <w:r>
              <w:rPr>
                <w:color w:val="auto"/>
              </w:rPr>
            </w:r>
            <w:r/>
          </w:p>
        </w:tc>
      </w:tr>
      <w:tr>
        <w:trPr>
          <w:trHeight w:val="533"/>
        </w:trPr>
        <w:tc>
          <w:tcPr>
            <w:tcBorders>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left w:val="single" w:color="000000" w:sz="4" w:space="0"/>
            </w:tcBorders>
            <w:tcMar>
              <w:left w:w="108" w:type="dxa"/>
              <w:top w:w="0" w:type="dxa"/>
              <w:right w:w="108" w:type="dxa"/>
              <w:bottom w:w="0" w:type="dxa"/>
            </w:tcMar>
            <w:tcW w:w="1226"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解码器</w:t>
            </w:r>
            <w:r>
              <w:rPr>
                <w:color w:val="auto"/>
              </w:rPr>
            </w:r>
            <w:r/>
          </w:p>
        </w:tc>
        <w:tc>
          <w:tcPr>
            <w:tcMar>
              <w:left w:w="108" w:type="dxa"/>
              <w:top w:w="0" w:type="dxa"/>
              <w:right w:w="108" w:type="dxa"/>
              <w:bottom w:w="0" w:type="dxa"/>
            </w:tcMar>
            <w:tcW w:w="4899" w:type="dxa"/>
            <w:vAlign w:val="center"/>
            <w:textDirection w:val="lrTb"/>
            <w:noWrap w:val="false"/>
          </w:tcPr>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 认证：支持 Dolby Atmos、DTS:X 7.2.4 声道授权认证；</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 输出模式：支持 2.1/5.1/7.1/11.2/5.1.2/7.2.4 等模式切换；</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3.接口数量足够连接各类设备（含 HDMI 输入、输出，光纤 + 同轴数字音频输入，模拟立体声输入，麦克风输入，前置模拟输出及耳机输出）；</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4.功能：支持≥6 种场景一键切换（可绑定输入源），每路输入与输出支持≥7 段 PEQ 调试；</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5.全面支持目前最先进的HD音频解码，包括DTS，DTS-HD，DTS5.1，DTS96/24，DTS-CD，DTS-MASTER，DTS-ES， DOLBY，DOLBY Suround，DOLBY Digital Plus，DOLBY-TureHD，AC-3，E-AC3，LPCM5.1，LPCM7.1</w:t>
            </w:r>
            <w:r>
              <w:rPr>
                <w:color w:val="auto"/>
              </w:rPr>
            </w:r>
            <w:r/>
          </w:p>
        </w:tc>
        <w:tc>
          <w:tcPr>
            <w:tcMar>
              <w:left w:w="108" w:type="dxa"/>
              <w:top w:w="0" w:type="dxa"/>
              <w:right w:w="108" w:type="dxa"/>
              <w:bottom w:w="0" w:type="dxa"/>
            </w:tcMar>
            <w:tcW w:w="639"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w:t>
            </w:r>
            <w:r>
              <w:rPr>
                <w:color w:val="auto"/>
              </w:rPr>
            </w:r>
            <w:r/>
          </w:p>
        </w:tc>
        <w:tc>
          <w:tcPr>
            <w:tcMar>
              <w:left w:w="108" w:type="dxa"/>
              <w:top w:w="0" w:type="dxa"/>
              <w:right w:w="108" w:type="dxa"/>
              <w:bottom w:w="0" w:type="dxa"/>
            </w:tcMar>
            <w:tcW w:w="605"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台</w:t>
            </w:r>
            <w:r>
              <w:rPr>
                <w:color w:val="auto"/>
              </w:rPr>
            </w:r>
            <w:r/>
          </w:p>
        </w:tc>
      </w:tr>
      <w:tr>
        <w:trPr>
          <w:trHeight w:val="1876"/>
        </w:trPr>
        <w:tc>
          <w:tcPr>
            <w:tcBorders>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left w:val="single" w:color="000000" w:sz="4" w:space="0"/>
            </w:tcBorders>
            <w:tcMar>
              <w:left w:w="108" w:type="dxa"/>
              <w:top w:w="0" w:type="dxa"/>
              <w:right w:w="108" w:type="dxa"/>
              <w:bottom w:w="0" w:type="dxa"/>
            </w:tcMar>
            <w:tcW w:w="1226"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音频处理器</w:t>
            </w:r>
            <w:r>
              <w:rPr>
                <w:color w:val="auto"/>
              </w:rPr>
            </w:r>
            <w:r/>
          </w:p>
        </w:tc>
        <w:tc>
          <w:tcPr>
            <w:tcMar>
              <w:left w:w="108" w:type="dxa"/>
              <w:top w:w="0" w:type="dxa"/>
              <w:right w:w="108" w:type="dxa"/>
              <w:bottom w:w="0" w:type="dxa"/>
            </w:tcMar>
            <w:tcW w:w="4899" w:type="dxa"/>
            <w:vAlign w:val="center"/>
            <w:textDirection w:val="lrTb"/>
            <w:noWrap w:val="false"/>
          </w:tcPr>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1.4进8出数字音频处理器</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2.频率响应：10Hz-40 kHz</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3.采用96kHz采样率，动态范围高达114dB</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4.输入通道：输入信号路由、延迟、增益、分频、相位、静音等功能；EQ：2×低通滤波、6×PEQ/带通和FIR滤波器</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5.输出通道：信号源、延迟、增益、相位、静音、分频滤波器、VX限制器等功能；EQ：1×低通滤波、8×PEQ/带通和斜波滤波器/768抽头FIR</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6.总谐波失真THD： &lt;0.008%，典型值（20Hz-20 kHz）</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7.支持TCP/IP局域网远程控制</w:t>
            </w:r>
            <w:r>
              <w:rPr>
                <w:color w:val="auto"/>
              </w:rPr>
            </w:r>
            <w:r/>
          </w:p>
        </w:tc>
        <w:tc>
          <w:tcPr>
            <w:tcMar>
              <w:left w:w="108" w:type="dxa"/>
              <w:top w:w="0" w:type="dxa"/>
              <w:right w:w="108" w:type="dxa"/>
              <w:bottom w:w="0" w:type="dxa"/>
            </w:tcMar>
            <w:tcW w:w="639"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w:t>
            </w:r>
            <w:r>
              <w:rPr>
                <w:color w:val="auto"/>
              </w:rPr>
            </w:r>
            <w:r/>
          </w:p>
        </w:tc>
        <w:tc>
          <w:tcPr>
            <w:tcMar>
              <w:left w:w="108" w:type="dxa"/>
              <w:top w:w="0" w:type="dxa"/>
              <w:right w:w="108" w:type="dxa"/>
              <w:bottom w:w="0" w:type="dxa"/>
            </w:tcMar>
            <w:tcW w:w="605"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台</w:t>
            </w:r>
            <w:r>
              <w:rPr>
                <w:color w:val="auto"/>
              </w:rPr>
            </w:r>
            <w:r/>
          </w:p>
        </w:tc>
      </w:tr>
      <w:tr>
        <w:trPr>
          <w:trHeight w:val="3911"/>
        </w:trPr>
        <w:tc>
          <w:tcPr>
            <w:tcBorders>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left w:val="single" w:color="000000" w:sz="4" w:space="0"/>
            </w:tcBorders>
            <w:tcMar>
              <w:left w:w="108" w:type="dxa"/>
              <w:top w:w="0" w:type="dxa"/>
              <w:right w:w="108" w:type="dxa"/>
              <w:bottom w:w="0" w:type="dxa"/>
            </w:tcMar>
            <w:tcW w:w="1226"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左右声道全频扬声器</w:t>
            </w:r>
            <w:r>
              <w:rPr>
                <w:color w:val="auto"/>
              </w:rPr>
            </w:r>
            <w:r/>
          </w:p>
        </w:tc>
        <w:tc>
          <w:tcPr>
            <w:tcMar>
              <w:left w:w="108" w:type="dxa"/>
              <w:top w:w="0" w:type="dxa"/>
              <w:right w:w="108" w:type="dxa"/>
              <w:bottom w:w="0" w:type="dxa"/>
            </w:tcMar>
            <w:tcW w:w="4899" w:type="dxa"/>
            <w:vAlign w:val="center"/>
            <w:textDirection w:val="lrTb"/>
            <w:noWrap w:val="false"/>
          </w:tcPr>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 类型：无源两分频；</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 单元：低音单元尺寸≥15 英寸，高音单元尺寸≥1.75 英寸；</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 频率响应：≤55Hz-≥20kHz（±3dB）；</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 灵敏度：≥99.5dB（1W/1m）；</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 最大声压级：≥132.4dB（Continuous）；</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6. 标称阻抗：≥8Ω；</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7. 额定功率：≥550W（AES）；</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8. 覆盖角度：≥120°×120°（H×V）；</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9. 接口：支持≥2 个 Speakon 接口</w:t>
            </w:r>
            <w:r>
              <w:rPr>
                <w:color w:val="auto"/>
              </w:rPr>
            </w:r>
            <w:r/>
          </w:p>
        </w:tc>
        <w:tc>
          <w:tcPr>
            <w:tcMar>
              <w:left w:w="108" w:type="dxa"/>
              <w:top w:w="0" w:type="dxa"/>
              <w:right w:w="108" w:type="dxa"/>
              <w:bottom w:w="0" w:type="dxa"/>
            </w:tcMar>
            <w:tcW w:w="639"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w:t>
            </w:r>
            <w:r>
              <w:rPr>
                <w:color w:val="auto"/>
              </w:rPr>
            </w:r>
            <w:r/>
          </w:p>
        </w:tc>
        <w:tc>
          <w:tcPr>
            <w:tcMar>
              <w:left w:w="108" w:type="dxa"/>
              <w:top w:w="0" w:type="dxa"/>
              <w:right w:w="108" w:type="dxa"/>
              <w:bottom w:w="0" w:type="dxa"/>
            </w:tcMar>
            <w:tcW w:w="605"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只</w:t>
            </w:r>
            <w:r>
              <w:rPr>
                <w:color w:val="auto"/>
              </w:rPr>
            </w:r>
            <w:r/>
          </w:p>
        </w:tc>
      </w:tr>
      <w:tr>
        <w:trPr>
          <w:trHeight w:val="944"/>
        </w:trPr>
        <w:tc>
          <w:tcPr>
            <w:tcBorders>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left w:val="single" w:color="000000" w:sz="4" w:space="0"/>
            </w:tcBorders>
            <w:tcMar>
              <w:left w:w="108" w:type="dxa"/>
              <w:top w:w="0" w:type="dxa"/>
              <w:right w:w="108" w:type="dxa"/>
              <w:bottom w:w="0" w:type="dxa"/>
            </w:tcMar>
            <w:tcW w:w="1226"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中置声道全频扬声器</w:t>
            </w:r>
            <w:r>
              <w:rPr>
                <w:color w:val="auto"/>
              </w:rPr>
            </w:r>
            <w:r/>
          </w:p>
        </w:tc>
        <w:tc>
          <w:tcPr>
            <w:tcMar>
              <w:left w:w="108" w:type="dxa"/>
              <w:top w:w="0" w:type="dxa"/>
              <w:right w:w="108" w:type="dxa"/>
              <w:bottom w:w="0" w:type="dxa"/>
            </w:tcMar>
            <w:tcW w:w="4899" w:type="dxa"/>
            <w:vAlign w:val="center"/>
            <w:textDirection w:val="lrTb"/>
            <w:noWrap w:val="false"/>
          </w:tcPr>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参数要求同 “左右声道全频扬声器”</w:t>
            </w:r>
            <w:r>
              <w:rPr>
                <w:color w:val="auto"/>
              </w:rPr>
            </w:r>
            <w:r/>
          </w:p>
        </w:tc>
        <w:tc>
          <w:tcPr>
            <w:tcMar>
              <w:left w:w="108" w:type="dxa"/>
              <w:top w:w="0" w:type="dxa"/>
              <w:right w:w="108" w:type="dxa"/>
              <w:bottom w:w="0" w:type="dxa"/>
            </w:tcMar>
            <w:tcW w:w="639"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w:t>
            </w:r>
            <w:r>
              <w:rPr>
                <w:color w:val="auto"/>
              </w:rPr>
            </w:r>
            <w:r/>
          </w:p>
        </w:tc>
        <w:tc>
          <w:tcPr>
            <w:tcMar>
              <w:left w:w="108" w:type="dxa"/>
              <w:top w:w="0" w:type="dxa"/>
              <w:right w:w="108" w:type="dxa"/>
              <w:bottom w:w="0" w:type="dxa"/>
            </w:tcMar>
            <w:tcW w:w="605"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只</w:t>
            </w:r>
            <w:r>
              <w:rPr>
                <w:color w:val="auto"/>
              </w:rPr>
            </w:r>
            <w:r/>
          </w:p>
        </w:tc>
      </w:tr>
      <w:tr>
        <w:trPr>
          <w:trHeight w:val="2342"/>
        </w:trPr>
        <w:tc>
          <w:tcPr>
            <w:tcBorders>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left w:val="single" w:color="000000" w:sz="4" w:space="0"/>
            </w:tcBorders>
            <w:tcMar>
              <w:left w:w="108" w:type="dxa"/>
              <w:top w:w="0" w:type="dxa"/>
              <w:right w:w="108" w:type="dxa"/>
              <w:bottom w:w="0" w:type="dxa"/>
            </w:tcMar>
            <w:tcW w:w="1226"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超低频扬声器</w:t>
            </w:r>
            <w:r>
              <w:rPr>
                <w:color w:val="auto"/>
              </w:rPr>
            </w:r>
            <w:r/>
          </w:p>
        </w:tc>
        <w:tc>
          <w:tcPr>
            <w:tcMar>
              <w:left w:w="108" w:type="dxa"/>
              <w:top w:w="0" w:type="dxa"/>
              <w:right w:w="108" w:type="dxa"/>
              <w:bottom w:w="0" w:type="dxa"/>
            </w:tcMar>
            <w:tcW w:w="4899" w:type="dxa"/>
            <w:vAlign w:val="center"/>
            <w:textDirection w:val="lrTb"/>
            <w:noWrap w:val="false"/>
          </w:tcPr>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 类型：无源直射式；</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 单元：≥2 个 18 英寸低音单元；</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 频率响应：≤33Hz-≥500Hz（±3dB）；</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 灵敏度：≥101dB（1W/1m）；</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 最大声压级：≥141dB（Continuous）；</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6. 标称阻抗：≥4Ω；</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7. 额定功率：≥2400W（AES）；</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8. 接口：支持≥2 个 Speakon 接口</w:t>
            </w:r>
            <w:r>
              <w:rPr>
                <w:color w:val="auto"/>
              </w:rPr>
            </w:r>
            <w:r/>
          </w:p>
        </w:tc>
        <w:tc>
          <w:tcPr>
            <w:tcMar>
              <w:left w:w="108" w:type="dxa"/>
              <w:top w:w="0" w:type="dxa"/>
              <w:right w:w="108" w:type="dxa"/>
              <w:bottom w:w="0" w:type="dxa"/>
            </w:tcMar>
            <w:tcW w:w="639"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w:t>
            </w:r>
            <w:r>
              <w:rPr>
                <w:color w:val="auto"/>
              </w:rPr>
            </w:r>
            <w:r/>
          </w:p>
        </w:tc>
        <w:tc>
          <w:tcPr>
            <w:tcMar>
              <w:left w:w="108" w:type="dxa"/>
              <w:top w:w="0" w:type="dxa"/>
              <w:right w:w="108" w:type="dxa"/>
              <w:bottom w:w="0" w:type="dxa"/>
            </w:tcMar>
            <w:tcW w:w="605"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只</w:t>
            </w:r>
            <w:r>
              <w:rPr>
                <w:color w:val="auto"/>
              </w:rPr>
            </w:r>
            <w:r/>
          </w:p>
        </w:tc>
      </w:tr>
      <w:tr>
        <w:trPr>
          <w:trHeight w:val="4205"/>
        </w:trPr>
        <w:tc>
          <w:tcPr>
            <w:tcMar>
              <w:left w:w="108" w:type="dxa"/>
              <w:top w:w="0" w:type="dxa"/>
              <w:right w:w="108" w:type="dxa"/>
              <w:bottom w:w="0" w:type="dxa"/>
            </w:tcMar>
            <w:tcW w:w="333" w:type="dxa"/>
            <w:vAlign w:val="center"/>
            <w:vMerge w:val="restart"/>
            <w:textDirection w:val="lrTb"/>
            <w:noWrap w:val="false"/>
          </w:tcPr>
          <w:p>
            <w:pPr>
              <w:ind w:left="0" w:right="0" w:firstLine="0"/>
              <w:jc w:val="both"/>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single" w:color="000000" w:sz="4" w:space="0"/>
            </w:tcBorders>
            <w:tcMar>
              <w:left w:w="108" w:type="dxa"/>
              <w:top w:w="0" w:type="dxa"/>
              <w:right w:w="108" w:type="dxa"/>
              <w:bottom w:w="0" w:type="dxa"/>
            </w:tcMar>
            <w:tcW w:w="1136" w:type="dxa"/>
            <w:vAlign w:val="center"/>
            <w:vMerge w:val="restart"/>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Mar>
              <w:left w:w="108" w:type="dxa"/>
              <w:top w:w="0" w:type="dxa"/>
              <w:right w:w="108" w:type="dxa"/>
              <w:bottom w:w="0" w:type="dxa"/>
            </w:tcMar>
            <w:tcW w:w="1226"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前置环绕全频扬声器</w:t>
            </w:r>
            <w:r>
              <w:rPr>
                <w:color w:val="auto"/>
              </w:rPr>
            </w:r>
            <w:r/>
          </w:p>
        </w:tc>
        <w:tc>
          <w:tcPr>
            <w:tcMar>
              <w:left w:w="108" w:type="dxa"/>
              <w:top w:w="0" w:type="dxa"/>
              <w:right w:w="108" w:type="dxa"/>
              <w:bottom w:w="0" w:type="dxa"/>
            </w:tcMar>
            <w:tcW w:w="4899" w:type="dxa"/>
            <w:vAlign w:val="center"/>
            <w:textDirection w:val="lrTb"/>
            <w:noWrap w:val="false"/>
          </w:tcPr>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 类型：无源二分频同轴；</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 单元：低音单元尺寸≥8 英寸，高音单元尺寸≥1.44 英寸；</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 频率响应：≤75Hz-≥20kHz（±3dB）；</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 灵敏度：≥96dB（1W/1m）；</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 最大声压级：≥128dB（Continuous）；</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6. 标称阻抗：≥8Ω；</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7. 额定功率：≥235W（AES）；</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8. 覆盖角度：≥100°（轴对称）；</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9. 接口：支持≥2 个 Speakon 接口</w:t>
            </w:r>
            <w:r>
              <w:rPr>
                <w:color w:val="auto"/>
              </w:rPr>
            </w:r>
            <w:r/>
          </w:p>
        </w:tc>
        <w:tc>
          <w:tcPr>
            <w:tcMar>
              <w:left w:w="108" w:type="dxa"/>
              <w:top w:w="0" w:type="dxa"/>
              <w:right w:w="108" w:type="dxa"/>
              <w:bottom w:w="0" w:type="dxa"/>
            </w:tcMar>
            <w:tcW w:w="639"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8</w:t>
            </w:r>
            <w:r>
              <w:rPr>
                <w:color w:val="auto"/>
              </w:rPr>
            </w:r>
            <w:r/>
          </w:p>
        </w:tc>
        <w:tc>
          <w:tcPr>
            <w:tcMar>
              <w:left w:w="108" w:type="dxa"/>
              <w:top w:w="0" w:type="dxa"/>
              <w:right w:w="108" w:type="dxa"/>
              <w:bottom w:w="0" w:type="dxa"/>
            </w:tcMar>
            <w:tcW w:w="605"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套</w:t>
            </w:r>
            <w:r>
              <w:rPr>
                <w:color w:val="auto"/>
              </w:rPr>
            </w:r>
            <w:r/>
          </w:p>
        </w:tc>
      </w:tr>
      <w:tr>
        <w:trPr>
          <w:trHeight w:val="944"/>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1226"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后置环绕全频扬声器</w:t>
            </w:r>
            <w:r>
              <w:rPr>
                <w:color w:val="auto"/>
              </w:rPr>
            </w:r>
            <w:r/>
          </w:p>
        </w:tc>
        <w:tc>
          <w:tcPr>
            <w:tcMar>
              <w:left w:w="108" w:type="dxa"/>
              <w:top w:w="0" w:type="dxa"/>
              <w:right w:w="108" w:type="dxa"/>
              <w:bottom w:w="0" w:type="dxa"/>
            </w:tcMar>
            <w:tcW w:w="4899" w:type="dxa"/>
            <w:vAlign w:val="center"/>
            <w:textDirection w:val="lrTb"/>
            <w:noWrap w:val="false"/>
          </w:tcPr>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参数要求同 “前置环绕全频扬声器”</w:t>
            </w:r>
            <w:r>
              <w:rPr>
                <w:color w:val="auto"/>
              </w:rPr>
            </w:r>
            <w:r/>
          </w:p>
        </w:tc>
        <w:tc>
          <w:tcPr>
            <w:tcMar>
              <w:left w:w="108" w:type="dxa"/>
              <w:top w:w="0" w:type="dxa"/>
              <w:right w:w="108" w:type="dxa"/>
              <w:bottom w:w="0" w:type="dxa"/>
            </w:tcMar>
            <w:tcW w:w="639"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w:t>
            </w:r>
            <w:r>
              <w:rPr>
                <w:color w:val="auto"/>
              </w:rPr>
            </w:r>
            <w:r/>
          </w:p>
        </w:tc>
        <w:tc>
          <w:tcPr>
            <w:tcMar>
              <w:left w:w="108" w:type="dxa"/>
              <w:top w:w="0" w:type="dxa"/>
              <w:right w:w="108" w:type="dxa"/>
              <w:bottom w:w="0" w:type="dxa"/>
            </w:tcMar>
            <w:tcW w:w="605"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套</w:t>
            </w:r>
            <w:r>
              <w:rPr>
                <w:color w:val="auto"/>
              </w:rPr>
            </w:r>
            <w:r/>
          </w:p>
        </w:tc>
      </w:tr>
      <w:tr>
        <w:trPr>
          <w:trHeight w:val="944"/>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1226"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天花环绕全频扬声器</w:t>
            </w:r>
            <w:r>
              <w:rPr>
                <w:color w:val="auto"/>
              </w:rPr>
            </w:r>
            <w:r/>
          </w:p>
        </w:tc>
        <w:tc>
          <w:tcPr>
            <w:tcMar>
              <w:left w:w="108" w:type="dxa"/>
              <w:top w:w="0" w:type="dxa"/>
              <w:right w:w="108" w:type="dxa"/>
              <w:bottom w:w="0" w:type="dxa"/>
            </w:tcMar>
            <w:tcW w:w="4899" w:type="dxa"/>
            <w:vAlign w:val="center"/>
            <w:textDirection w:val="lrTb"/>
            <w:noWrap w:val="false"/>
          </w:tcPr>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参数要求同 “前置环绕全频扬声器”</w:t>
            </w:r>
            <w:r>
              <w:rPr>
                <w:color w:val="auto"/>
              </w:rPr>
            </w:r>
            <w:r/>
          </w:p>
        </w:tc>
        <w:tc>
          <w:tcPr>
            <w:tcMar>
              <w:left w:w="108" w:type="dxa"/>
              <w:top w:w="0" w:type="dxa"/>
              <w:right w:w="108" w:type="dxa"/>
              <w:bottom w:w="0" w:type="dxa"/>
            </w:tcMar>
            <w:tcW w:w="639"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w:t>
            </w:r>
            <w:r>
              <w:rPr>
                <w:color w:val="auto"/>
              </w:rPr>
            </w:r>
            <w:r/>
          </w:p>
        </w:tc>
        <w:tc>
          <w:tcPr>
            <w:tcMar>
              <w:left w:w="108" w:type="dxa"/>
              <w:top w:w="0" w:type="dxa"/>
              <w:right w:w="108" w:type="dxa"/>
              <w:bottom w:w="0" w:type="dxa"/>
            </w:tcMar>
            <w:tcW w:w="605"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套</w:t>
            </w:r>
            <w:r>
              <w:rPr>
                <w:color w:val="auto"/>
              </w:rPr>
            </w:r>
            <w:r/>
          </w:p>
        </w:tc>
      </w:tr>
      <w:tr>
        <w:trPr>
          <w:trHeight w:val="2808"/>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1226"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四通道功率放大器</w:t>
            </w:r>
            <w:r>
              <w:rPr>
                <w:color w:val="auto"/>
              </w:rPr>
            </w:r>
            <w:r/>
          </w:p>
        </w:tc>
        <w:tc>
          <w:tcPr>
            <w:tcMar>
              <w:left w:w="108" w:type="dxa"/>
              <w:top w:w="0" w:type="dxa"/>
              <w:right w:w="108" w:type="dxa"/>
              <w:bottom w:w="0" w:type="dxa"/>
            </w:tcMar>
            <w:tcW w:w="4899" w:type="dxa"/>
            <w:vAlign w:val="center"/>
            <w:textDirection w:val="lrTb"/>
            <w:noWrap w:val="false"/>
          </w:tcPr>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 输出功率：4Ω 负载下≥2000W/通道，8Ω 负载（定压 70V）下≥1000W /通道，桥接 8Ω 负载（定压 100V）下≥3200W/通道；</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 功能：支持 FIR 功能（≥4x2048 Taps），输入 EQ≥31 段，输出 EQ≥10 段，预设参数≥80 组，可选配 DANTE 功能；</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 采样频率：≥48k/24bit；</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 支持定压定阻（100V、70V、8Ω、4Ω）；</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 控制：支持 USB、TCP/IP、RS232、RS485 等联机方式，带≥4.3 寸 IPS 彩色硬屏；</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6. 保护：具备高温、短路、过压、欠压等完善保护功能；</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7. 性能：频率响应 20Hz-20kHz（-3dB），信噪比≥98dB/A，THD+N≤0.01%（1kHz@8Ω）；</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8. 供电：180-264V 50Hz</w:t>
            </w:r>
            <w:r>
              <w:rPr>
                <w:color w:val="auto"/>
              </w:rPr>
            </w:r>
            <w:r/>
          </w:p>
        </w:tc>
        <w:tc>
          <w:tcPr>
            <w:tcMar>
              <w:left w:w="108" w:type="dxa"/>
              <w:top w:w="0" w:type="dxa"/>
              <w:right w:w="108" w:type="dxa"/>
              <w:bottom w:w="0" w:type="dxa"/>
            </w:tcMar>
            <w:tcW w:w="639"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w:t>
            </w:r>
            <w:r>
              <w:rPr>
                <w:color w:val="auto"/>
              </w:rPr>
            </w:r>
            <w:r/>
          </w:p>
        </w:tc>
        <w:tc>
          <w:tcPr>
            <w:tcMar>
              <w:left w:w="108" w:type="dxa"/>
              <w:top w:w="0" w:type="dxa"/>
              <w:right w:w="108" w:type="dxa"/>
              <w:bottom w:w="0" w:type="dxa"/>
            </w:tcMar>
            <w:tcW w:w="605"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台</w:t>
            </w:r>
            <w:r>
              <w:rPr>
                <w:color w:val="auto"/>
              </w:rPr>
            </w:r>
            <w:r/>
          </w:p>
        </w:tc>
      </w:tr>
      <w:tr>
        <w:trPr>
          <w:trHeight w:val="2342"/>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1226"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四通道功率放大器</w:t>
            </w:r>
            <w:r>
              <w:rPr>
                <w:color w:val="auto"/>
              </w:rPr>
            </w:r>
            <w:r/>
          </w:p>
        </w:tc>
        <w:tc>
          <w:tcPr>
            <w:tcMar>
              <w:left w:w="108" w:type="dxa"/>
              <w:top w:w="0" w:type="dxa"/>
              <w:right w:w="108" w:type="dxa"/>
              <w:bottom w:w="0" w:type="dxa"/>
            </w:tcMar>
            <w:tcW w:w="4899" w:type="dxa"/>
            <w:vAlign w:val="center"/>
            <w:textDirection w:val="lrTb"/>
            <w:noWrap w:val="false"/>
          </w:tcPr>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 输出功率：4Ω 负载下≥2000W/通道，8Ω 负载（定压 70V）下≥1500W /通道，桥接 8Ω 负载（定压 100V）下≥3200W/通道；</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 其他核心参数（功能、采样频率、定压定阻、控制、保护、性能、供电）同 “16 号四通道功率放大器”</w:t>
            </w:r>
            <w:r>
              <w:rPr>
                <w:color w:val="auto"/>
              </w:rPr>
            </w:r>
            <w:r/>
          </w:p>
        </w:tc>
        <w:tc>
          <w:tcPr>
            <w:tcMar>
              <w:left w:w="108" w:type="dxa"/>
              <w:top w:w="0" w:type="dxa"/>
              <w:right w:w="108" w:type="dxa"/>
              <w:bottom w:w="0" w:type="dxa"/>
            </w:tcMar>
            <w:tcW w:w="639"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w:t>
            </w:r>
            <w:r>
              <w:rPr>
                <w:color w:val="auto"/>
              </w:rPr>
            </w:r>
            <w:r/>
          </w:p>
        </w:tc>
        <w:tc>
          <w:tcPr>
            <w:tcMar>
              <w:left w:w="108" w:type="dxa"/>
              <w:top w:w="0" w:type="dxa"/>
              <w:right w:w="108" w:type="dxa"/>
              <w:bottom w:w="0" w:type="dxa"/>
            </w:tcMar>
            <w:tcW w:w="605"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台</w:t>
            </w:r>
            <w:r>
              <w:rPr>
                <w:color w:val="auto"/>
              </w:rPr>
            </w:r>
            <w:r/>
          </w:p>
        </w:tc>
      </w:tr>
      <w:tr>
        <w:trPr>
          <w:trHeight w:val="3739"/>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1226"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四通道功率放大器</w:t>
            </w:r>
            <w:r>
              <w:rPr>
                <w:color w:val="auto"/>
              </w:rPr>
            </w:r>
            <w:r/>
          </w:p>
        </w:tc>
        <w:tc>
          <w:tcPr>
            <w:tcMar>
              <w:left w:w="108" w:type="dxa"/>
              <w:top w:w="0" w:type="dxa"/>
              <w:right w:w="108" w:type="dxa"/>
              <w:bottom w:w="0" w:type="dxa"/>
            </w:tcMar>
            <w:tcW w:w="4899" w:type="dxa"/>
            <w:vAlign w:val="center"/>
            <w:textDirection w:val="lrTb"/>
            <w:noWrap w:val="false"/>
          </w:tcPr>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 输出功率：4Ω 负载下≥900W/通道，8Ω 负载（定压 70V）下≥600W /通道，桥接 8Ω 负载（定压 100V）下≥1800W/通道；</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 功能：支持≥4×4 DSP 矩阵，输入 EQ≥31 段，输出 EQ≥10 段，输入延时≥4×100ms，输出延时≥20ms，预设参数≥30 组，可选配 DANTE 功能；</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 其他核心参数（采样频率、定压定阻、控制、保护、性能、供电）同 “16 号四通道功率放大器”（供电电压 90-260V 50Hz）</w:t>
            </w:r>
            <w:r>
              <w:rPr>
                <w:color w:val="auto"/>
              </w:rPr>
            </w:r>
            <w:r/>
          </w:p>
        </w:tc>
        <w:tc>
          <w:tcPr>
            <w:tcMar>
              <w:left w:w="108" w:type="dxa"/>
              <w:top w:w="0" w:type="dxa"/>
              <w:right w:w="108" w:type="dxa"/>
              <w:bottom w:w="0" w:type="dxa"/>
            </w:tcMar>
            <w:tcW w:w="639"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w:t>
            </w:r>
            <w:r>
              <w:rPr>
                <w:color w:val="auto"/>
              </w:rPr>
            </w:r>
            <w:r/>
          </w:p>
        </w:tc>
        <w:tc>
          <w:tcPr>
            <w:tcMar>
              <w:left w:w="108" w:type="dxa"/>
              <w:top w:w="0" w:type="dxa"/>
              <w:right w:w="108" w:type="dxa"/>
              <w:bottom w:w="0" w:type="dxa"/>
            </w:tcMar>
            <w:tcW w:w="605"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台</w:t>
            </w:r>
            <w:r>
              <w:rPr>
                <w:color w:val="auto"/>
              </w:rPr>
            </w:r>
            <w:r/>
          </w:p>
        </w:tc>
      </w:tr>
      <w:tr>
        <w:trPr>
          <w:trHeight w:val="944"/>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1226"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时序电源管理器</w:t>
            </w:r>
            <w:r>
              <w:rPr>
                <w:color w:val="auto"/>
              </w:rPr>
            </w:r>
            <w:r/>
          </w:p>
        </w:tc>
        <w:tc>
          <w:tcPr>
            <w:tcMar>
              <w:left w:w="108" w:type="dxa"/>
              <w:top w:w="0" w:type="dxa"/>
              <w:right w:w="108" w:type="dxa"/>
              <w:bottom w:w="0" w:type="dxa"/>
            </w:tcMar>
            <w:tcW w:w="4899" w:type="dxa"/>
            <w:vAlign w:val="center"/>
            <w:textDirection w:val="lrTb"/>
            <w:noWrap w:val="false"/>
          </w:tcPr>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 路数：≥16 路；</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 功率：单路最大功率≥2.5KW，总功率≥5KW；</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3.系统：支持嵌入式实时操作系统，带≥4 寸高清触摸屏（分辨率≥480x800）；</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4.保护：支持过压、欠压、过流保护，触发保护时具备提示功能；</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5.功能：每路延时可设（1-999sec），支持标准、影院、K 歌等模式，支持以太网接口（兼容主流云平台），支持多台 RS232 级联；</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6.控制：支持 RS232、RS485 中控控制，支持中英文切换；</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7.其他：支持用电量累计、24 小时循环定时、消防开关功能</w:t>
            </w:r>
            <w:r>
              <w:rPr>
                <w:color w:val="auto"/>
              </w:rPr>
            </w:r>
            <w:r/>
          </w:p>
        </w:tc>
        <w:tc>
          <w:tcPr>
            <w:tcMar>
              <w:left w:w="108" w:type="dxa"/>
              <w:top w:w="0" w:type="dxa"/>
              <w:right w:w="108" w:type="dxa"/>
              <w:bottom w:w="0" w:type="dxa"/>
            </w:tcMar>
            <w:tcW w:w="639"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w:t>
            </w:r>
            <w:r>
              <w:rPr>
                <w:color w:val="auto"/>
              </w:rPr>
            </w:r>
            <w:r/>
          </w:p>
        </w:tc>
        <w:tc>
          <w:tcPr>
            <w:tcMar>
              <w:left w:w="108" w:type="dxa"/>
              <w:top w:w="0" w:type="dxa"/>
              <w:right w:w="108" w:type="dxa"/>
              <w:bottom w:w="0" w:type="dxa"/>
            </w:tcMar>
            <w:tcW w:w="605"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台</w:t>
            </w:r>
            <w:r>
              <w:rPr>
                <w:color w:val="auto"/>
              </w:rPr>
            </w:r>
            <w:r/>
          </w:p>
        </w:tc>
      </w:tr>
      <w:tr>
        <w:trPr>
          <w:trHeight w:val="3273"/>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1226"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触摸控制面板</w:t>
            </w:r>
            <w:r>
              <w:rPr>
                <w:color w:val="auto"/>
              </w:rPr>
            </w:r>
            <w:r/>
          </w:p>
        </w:tc>
        <w:tc>
          <w:tcPr>
            <w:tcMar>
              <w:left w:w="108" w:type="dxa"/>
              <w:top w:w="0" w:type="dxa"/>
              <w:right w:w="108" w:type="dxa"/>
              <w:bottom w:w="0" w:type="dxa"/>
            </w:tcMar>
            <w:tcW w:w="4899" w:type="dxa"/>
            <w:vAlign w:val="center"/>
            <w:textDirection w:val="lrTb"/>
            <w:noWrap w:val="false"/>
          </w:tcPr>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1.类型：≥86型；</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2.屏幕：≥4寸高清屏（分辨率≥480x800），可显示时间、电压、电流、功率、通道开关状态；</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3.功能：支持标准、影院、K 歌模式切换，支持过压、过流、欠压保护阈值设置；</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4.控制：支持RS485控制（波特率≥115200bps）；</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5.其他：支持中英文显示、用电量累计，工作电压 DC4.5V-30V</w:t>
            </w:r>
            <w:r>
              <w:rPr>
                <w:color w:val="auto"/>
              </w:rPr>
            </w:r>
            <w:r/>
          </w:p>
        </w:tc>
        <w:tc>
          <w:tcPr>
            <w:tcMar>
              <w:left w:w="108" w:type="dxa"/>
              <w:top w:w="0" w:type="dxa"/>
              <w:right w:w="108" w:type="dxa"/>
              <w:bottom w:w="0" w:type="dxa"/>
            </w:tcMar>
            <w:tcW w:w="639"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w:t>
            </w:r>
            <w:r>
              <w:rPr>
                <w:color w:val="auto"/>
              </w:rPr>
            </w:r>
            <w:r/>
          </w:p>
        </w:tc>
        <w:tc>
          <w:tcPr>
            <w:tcMar>
              <w:left w:w="108" w:type="dxa"/>
              <w:top w:w="0" w:type="dxa"/>
              <w:right w:w="108" w:type="dxa"/>
              <w:bottom w:w="0" w:type="dxa"/>
            </w:tcMar>
            <w:tcW w:w="605"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台</w:t>
            </w:r>
            <w:r>
              <w:rPr>
                <w:color w:val="auto"/>
              </w:rPr>
            </w:r>
            <w:r/>
          </w:p>
        </w:tc>
      </w:tr>
      <w:tr>
        <w:trPr>
          <w:trHeight w:val="478"/>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1226"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音箱电缆</w:t>
            </w:r>
            <w:r>
              <w:rPr>
                <w:color w:val="auto"/>
              </w:rPr>
            </w:r>
            <w:r/>
          </w:p>
        </w:tc>
        <w:tc>
          <w:tcPr>
            <w:tcMar>
              <w:left w:w="108" w:type="dxa"/>
              <w:top w:w="0" w:type="dxa"/>
              <w:right w:w="108" w:type="dxa"/>
              <w:bottom w:w="0" w:type="dxa"/>
            </w:tcMar>
            <w:tcW w:w="4899" w:type="dxa"/>
            <w:vAlign w:val="center"/>
            <w:textDirection w:val="lrTb"/>
            <w:noWrap w:val="false"/>
          </w:tcPr>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规格≥2×2.5mm²，优质扬声器线缆</w:t>
            </w:r>
            <w:r>
              <w:rPr>
                <w:color w:val="auto"/>
              </w:rPr>
            </w:r>
            <w:r/>
          </w:p>
        </w:tc>
        <w:tc>
          <w:tcPr>
            <w:tcMar>
              <w:left w:w="108" w:type="dxa"/>
              <w:top w:w="0" w:type="dxa"/>
              <w:right w:w="108" w:type="dxa"/>
              <w:bottom w:w="0" w:type="dxa"/>
            </w:tcMar>
            <w:tcW w:w="639"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w:t>
            </w:r>
            <w:r>
              <w:rPr>
                <w:color w:val="auto"/>
              </w:rPr>
            </w:r>
            <w:r/>
          </w:p>
        </w:tc>
        <w:tc>
          <w:tcPr>
            <w:tcMar>
              <w:left w:w="108" w:type="dxa"/>
              <w:top w:w="0" w:type="dxa"/>
              <w:right w:w="108" w:type="dxa"/>
              <w:bottom w:w="0" w:type="dxa"/>
            </w:tcMar>
            <w:tcW w:w="605"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批</w:t>
            </w:r>
            <w:r>
              <w:rPr>
                <w:color w:val="auto"/>
              </w:rPr>
            </w:r>
            <w:r/>
          </w:p>
        </w:tc>
      </w:tr>
      <w:tr>
        <w:trPr>
          <w:trHeight w:val="944"/>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1226"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音频信号缆</w:t>
            </w:r>
            <w:r>
              <w:rPr>
                <w:color w:val="auto"/>
              </w:rPr>
            </w:r>
            <w:r/>
          </w:p>
        </w:tc>
        <w:tc>
          <w:tcPr>
            <w:tcMar>
              <w:left w:w="108" w:type="dxa"/>
              <w:top w:w="0" w:type="dxa"/>
              <w:right w:w="108" w:type="dxa"/>
              <w:bottom w:w="0" w:type="dxa"/>
            </w:tcMar>
            <w:tcW w:w="4899" w:type="dxa"/>
            <w:vAlign w:val="center"/>
            <w:textDirection w:val="lrTb"/>
            <w:noWrap w:val="false"/>
          </w:tcPr>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2芯结构，导体规格满足传输需求（电阻≤69.2Ω），外径约 6mm，优质线缆</w:t>
            </w:r>
            <w:r>
              <w:rPr>
                <w:color w:val="auto"/>
              </w:rPr>
            </w:r>
            <w:r/>
          </w:p>
        </w:tc>
        <w:tc>
          <w:tcPr>
            <w:tcMar>
              <w:left w:w="108" w:type="dxa"/>
              <w:top w:w="0" w:type="dxa"/>
              <w:right w:w="108" w:type="dxa"/>
              <w:bottom w:w="0" w:type="dxa"/>
            </w:tcMar>
            <w:tcW w:w="639"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w:t>
            </w:r>
            <w:r>
              <w:rPr>
                <w:color w:val="auto"/>
              </w:rPr>
            </w:r>
            <w:r/>
          </w:p>
        </w:tc>
        <w:tc>
          <w:tcPr>
            <w:tcMar>
              <w:left w:w="108" w:type="dxa"/>
              <w:top w:w="0" w:type="dxa"/>
              <w:right w:w="108" w:type="dxa"/>
              <w:bottom w:w="0" w:type="dxa"/>
            </w:tcMar>
            <w:tcW w:w="605"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批</w:t>
            </w:r>
            <w:r>
              <w:rPr>
                <w:color w:val="auto"/>
              </w:rPr>
            </w:r>
            <w:r/>
          </w:p>
        </w:tc>
      </w:tr>
      <w:tr>
        <w:trPr>
          <w:trHeight w:val="478"/>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1226"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音箱接插件</w:t>
            </w:r>
            <w:r>
              <w:rPr>
                <w:color w:val="auto"/>
              </w:rPr>
            </w:r>
            <w:r/>
          </w:p>
        </w:tc>
        <w:tc>
          <w:tcPr>
            <w:tcMar>
              <w:left w:w="108" w:type="dxa"/>
              <w:top w:w="0" w:type="dxa"/>
              <w:right w:w="108" w:type="dxa"/>
              <w:bottom w:w="0" w:type="dxa"/>
            </w:tcMar>
            <w:tcW w:w="4899" w:type="dxa"/>
            <w:vAlign w:val="center"/>
            <w:textDirection w:val="lrTb"/>
            <w:noWrap w:val="false"/>
          </w:tcPr>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四芯型接插件，优质产品</w:t>
            </w:r>
            <w:r>
              <w:rPr>
                <w:color w:val="auto"/>
              </w:rPr>
            </w:r>
            <w:r/>
          </w:p>
        </w:tc>
        <w:tc>
          <w:tcPr>
            <w:tcMar>
              <w:left w:w="108" w:type="dxa"/>
              <w:top w:w="0" w:type="dxa"/>
              <w:right w:w="108" w:type="dxa"/>
              <w:bottom w:w="0" w:type="dxa"/>
            </w:tcMar>
            <w:tcW w:w="639"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w:t>
            </w:r>
            <w:r>
              <w:rPr>
                <w:color w:val="auto"/>
              </w:rPr>
            </w:r>
            <w:r/>
          </w:p>
        </w:tc>
        <w:tc>
          <w:tcPr>
            <w:tcMar>
              <w:left w:w="108" w:type="dxa"/>
              <w:top w:w="0" w:type="dxa"/>
              <w:right w:w="108" w:type="dxa"/>
              <w:bottom w:w="0" w:type="dxa"/>
            </w:tcMar>
            <w:tcW w:w="605"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批</w:t>
            </w:r>
            <w:r>
              <w:rPr>
                <w:color w:val="auto"/>
              </w:rPr>
            </w:r>
            <w:r/>
          </w:p>
        </w:tc>
      </w:tr>
      <w:tr>
        <w:trPr>
          <w:trHeight w:val="478"/>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1226"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信号接插件</w:t>
            </w:r>
            <w:r>
              <w:rPr>
                <w:color w:val="auto"/>
              </w:rPr>
            </w:r>
            <w:r/>
          </w:p>
        </w:tc>
        <w:tc>
          <w:tcPr>
            <w:tcMar>
              <w:left w:w="108" w:type="dxa"/>
              <w:top w:w="0" w:type="dxa"/>
              <w:right w:w="108" w:type="dxa"/>
              <w:bottom w:w="0" w:type="dxa"/>
            </w:tcMar>
            <w:tcW w:w="4899" w:type="dxa"/>
            <w:vAlign w:val="center"/>
            <w:textDirection w:val="lrTb"/>
            <w:noWrap w:val="false"/>
          </w:tcPr>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卡侬公母接插件，优质产品</w:t>
            </w:r>
            <w:r>
              <w:rPr>
                <w:color w:val="auto"/>
              </w:rPr>
            </w:r>
            <w:r/>
          </w:p>
        </w:tc>
        <w:tc>
          <w:tcPr>
            <w:tcMar>
              <w:left w:w="108" w:type="dxa"/>
              <w:top w:w="0" w:type="dxa"/>
              <w:right w:w="108" w:type="dxa"/>
              <w:bottom w:w="0" w:type="dxa"/>
            </w:tcMar>
            <w:tcW w:w="639"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w:t>
            </w:r>
            <w:r>
              <w:rPr>
                <w:color w:val="auto"/>
              </w:rPr>
            </w:r>
            <w:r/>
          </w:p>
        </w:tc>
        <w:tc>
          <w:tcPr>
            <w:tcMar>
              <w:left w:w="108" w:type="dxa"/>
              <w:top w:w="0" w:type="dxa"/>
              <w:right w:w="108" w:type="dxa"/>
              <w:bottom w:w="0" w:type="dxa"/>
            </w:tcMar>
            <w:tcW w:w="605"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批</w:t>
            </w:r>
            <w:r>
              <w:rPr>
                <w:color w:val="auto"/>
              </w:rPr>
            </w:r>
            <w:r/>
          </w:p>
        </w:tc>
      </w:tr>
      <w:tr>
        <w:trPr>
          <w:trHeight w:val="478"/>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1226"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信号接插件</w:t>
            </w:r>
            <w:r>
              <w:rPr>
                <w:color w:val="auto"/>
              </w:rPr>
            </w:r>
            <w:r/>
          </w:p>
        </w:tc>
        <w:tc>
          <w:tcPr>
            <w:tcMar>
              <w:left w:w="108" w:type="dxa"/>
              <w:top w:w="0" w:type="dxa"/>
              <w:right w:w="108" w:type="dxa"/>
              <w:bottom w:w="0" w:type="dxa"/>
            </w:tcMar>
            <w:tcW w:w="4899" w:type="dxa"/>
            <w:vAlign w:val="center"/>
            <w:textDirection w:val="lrTb"/>
            <w:noWrap w:val="false"/>
          </w:tcPr>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大三芯直插接插件，优质产品</w:t>
            </w:r>
            <w:r>
              <w:rPr>
                <w:color w:val="auto"/>
              </w:rPr>
            </w:r>
            <w:r/>
          </w:p>
        </w:tc>
        <w:tc>
          <w:tcPr>
            <w:tcMar>
              <w:left w:w="108" w:type="dxa"/>
              <w:top w:w="0" w:type="dxa"/>
              <w:right w:w="108" w:type="dxa"/>
              <w:bottom w:w="0" w:type="dxa"/>
            </w:tcMar>
            <w:tcW w:w="639"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w:t>
            </w:r>
            <w:r>
              <w:rPr>
                <w:color w:val="auto"/>
              </w:rPr>
            </w:r>
            <w:r/>
          </w:p>
        </w:tc>
        <w:tc>
          <w:tcPr>
            <w:tcMar>
              <w:left w:w="108" w:type="dxa"/>
              <w:top w:w="0" w:type="dxa"/>
              <w:right w:w="108" w:type="dxa"/>
              <w:bottom w:w="0" w:type="dxa"/>
            </w:tcMar>
            <w:tcW w:w="605"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批</w:t>
            </w:r>
            <w:r>
              <w:rPr>
                <w:color w:val="auto"/>
              </w:rPr>
            </w:r>
            <w:r/>
          </w:p>
        </w:tc>
      </w:tr>
      <w:tr>
        <w:trPr>
          <w:trHeight w:val="478"/>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1226"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设备机柜</w:t>
            </w:r>
            <w:r>
              <w:rPr>
                <w:color w:val="auto"/>
              </w:rPr>
            </w:r>
            <w:r/>
          </w:p>
        </w:tc>
        <w:tc>
          <w:tcPr>
            <w:tcMar>
              <w:left w:w="108" w:type="dxa"/>
              <w:top w:w="0" w:type="dxa"/>
              <w:right w:w="108" w:type="dxa"/>
              <w:bottom w:w="0" w:type="dxa"/>
            </w:tcMar>
            <w:tcW w:w="4899" w:type="dxa"/>
            <w:vAlign w:val="center"/>
            <w:textDirection w:val="lrTb"/>
            <w:noWrap w:val="false"/>
          </w:tcPr>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优质机柜，满足设备安装及散热需求</w:t>
            </w:r>
            <w:r>
              <w:rPr>
                <w:color w:val="auto"/>
              </w:rPr>
            </w:r>
            <w:r/>
          </w:p>
        </w:tc>
        <w:tc>
          <w:tcPr>
            <w:tcMar>
              <w:left w:w="108" w:type="dxa"/>
              <w:top w:w="0" w:type="dxa"/>
              <w:right w:w="108" w:type="dxa"/>
              <w:bottom w:w="0" w:type="dxa"/>
            </w:tcMar>
            <w:tcW w:w="639"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w:t>
            </w:r>
            <w:r>
              <w:rPr>
                <w:color w:val="auto"/>
              </w:rPr>
            </w:r>
            <w:r/>
          </w:p>
        </w:tc>
        <w:tc>
          <w:tcPr>
            <w:tcMar>
              <w:left w:w="108" w:type="dxa"/>
              <w:top w:w="0" w:type="dxa"/>
              <w:right w:w="108" w:type="dxa"/>
              <w:bottom w:w="0" w:type="dxa"/>
            </w:tcMar>
            <w:tcW w:w="605"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台</w:t>
            </w:r>
            <w:r>
              <w:rPr>
                <w:color w:val="auto"/>
              </w:rPr>
            </w:r>
            <w:r/>
          </w:p>
        </w:tc>
      </w:tr>
      <w:tr>
        <w:trPr>
          <w:trHeight w:val="478"/>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1226"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其他工程耗材</w:t>
            </w:r>
            <w:r>
              <w:rPr>
                <w:color w:val="auto"/>
              </w:rPr>
            </w:r>
            <w:r/>
          </w:p>
        </w:tc>
        <w:tc>
          <w:tcPr>
            <w:tcMar>
              <w:left w:w="108" w:type="dxa"/>
              <w:top w:w="0" w:type="dxa"/>
              <w:right w:w="108" w:type="dxa"/>
              <w:bottom w:w="0" w:type="dxa"/>
            </w:tcMar>
            <w:tcW w:w="4899" w:type="dxa"/>
            <w:vAlign w:val="center"/>
            <w:textDirection w:val="lrTb"/>
            <w:noWrap w:val="false"/>
          </w:tcPr>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含工程安装附件（扎带、吊带、五金件等），优质产品</w:t>
            </w:r>
            <w:r>
              <w:rPr>
                <w:color w:val="auto"/>
              </w:rPr>
            </w:r>
            <w:r/>
          </w:p>
        </w:tc>
        <w:tc>
          <w:tcPr>
            <w:tcMar>
              <w:left w:w="108" w:type="dxa"/>
              <w:top w:w="0" w:type="dxa"/>
              <w:right w:w="108" w:type="dxa"/>
              <w:bottom w:w="0" w:type="dxa"/>
            </w:tcMar>
            <w:tcW w:w="639"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w:t>
            </w:r>
            <w:r>
              <w:rPr>
                <w:color w:val="auto"/>
              </w:rPr>
            </w:r>
            <w:r/>
          </w:p>
        </w:tc>
        <w:tc>
          <w:tcPr>
            <w:tcMar>
              <w:left w:w="108" w:type="dxa"/>
              <w:top w:w="0" w:type="dxa"/>
              <w:right w:w="108" w:type="dxa"/>
              <w:bottom w:w="0" w:type="dxa"/>
            </w:tcMar>
            <w:tcW w:w="605"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批</w:t>
            </w:r>
            <w:r>
              <w:rPr>
                <w:color w:val="auto"/>
              </w:rPr>
            </w:r>
            <w:r/>
          </w:p>
        </w:tc>
      </w:tr>
      <w:tr>
        <w:trPr>
          <w:trHeight w:val="478"/>
        </w:trPr>
        <w:tc>
          <w:tcPr>
            <w:vMerge w:val="continue"/>
            <w:textDirection w:val="lrTb"/>
            <w:noWrap w:val="false"/>
          </w:tcPr>
          <w:p>
            <w:r/>
            <w:r/>
          </w:p>
        </w:tc>
        <w:tc>
          <w:tcPr>
            <w:vMerge w:val="continue"/>
            <w:textDirection w:val="lrTb"/>
            <w:noWrap w:val="false"/>
          </w:tcPr>
          <w:p>
            <w:r/>
            <w:r/>
          </w:p>
        </w:tc>
        <w:tc>
          <w:tcPr>
            <w:tcMar>
              <w:left w:w="108" w:type="dxa"/>
              <w:top w:w="0" w:type="dxa"/>
              <w:right w:w="108" w:type="dxa"/>
              <w:bottom w:w="0" w:type="dxa"/>
            </w:tcMar>
            <w:tcW w:w="1226"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安装施工</w:t>
            </w:r>
            <w:r>
              <w:rPr>
                <w:color w:val="auto"/>
              </w:rPr>
            </w:r>
            <w:r/>
          </w:p>
        </w:tc>
        <w:tc>
          <w:tcPr>
            <w:tcMar>
              <w:left w:w="108" w:type="dxa"/>
              <w:top w:w="0" w:type="dxa"/>
              <w:right w:w="108" w:type="dxa"/>
              <w:bottom w:w="0" w:type="dxa"/>
            </w:tcMar>
            <w:tcW w:w="4899" w:type="dxa"/>
            <w:vAlign w:val="center"/>
            <w:textDirection w:val="lrTb"/>
            <w:noWrap w:val="false"/>
          </w:tcPr>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包含所有设备的安装、调试及相关施工服务，符合行业工程标准</w:t>
            </w:r>
            <w:r>
              <w:rPr>
                <w:color w:val="auto"/>
              </w:rPr>
            </w:r>
            <w:r/>
          </w:p>
        </w:tc>
        <w:tc>
          <w:tcPr>
            <w:tcMar>
              <w:left w:w="108" w:type="dxa"/>
              <w:top w:w="0" w:type="dxa"/>
              <w:right w:w="108" w:type="dxa"/>
              <w:bottom w:w="0" w:type="dxa"/>
            </w:tcMar>
            <w:tcW w:w="639"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w:t>
            </w:r>
            <w:r>
              <w:rPr>
                <w:color w:val="auto"/>
              </w:rPr>
            </w:r>
            <w:r/>
          </w:p>
        </w:tc>
        <w:tc>
          <w:tcPr>
            <w:tcMar>
              <w:left w:w="108" w:type="dxa"/>
              <w:top w:w="0" w:type="dxa"/>
              <w:right w:w="108" w:type="dxa"/>
              <w:bottom w:w="0" w:type="dxa"/>
            </w:tcMar>
            <w:tcW w:w="605"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项</w:t>
            </w:r>
            <w:r>
              <w:rPr>
                <w:color w:val="auto"/>
              </w:rPr>
            </w:r>
            <w:r/>
          </w:p>
        </w:tc>
      </w:tr>
      <w:tr>
        <w:trPr>
          <w:trHeight w:val="90"/>
        </w:trPr>
        <w:tc>
          <w:tcPr>
            <w:tcMar>
              <w:left w:w="108" w:type="dxa"/>
              <w:top w:w="0" w:type="dxa"/>
              <w:right w:w="108" w:type="dxa"/>
              <w:bottom w:w="0" w:type="dxa"/>
            </w:tcMar>
            <w:tcW w:w="333"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w:t>
            </w:r>
            <w:r>
              <w:rPr>
                <w:color w:val="auto"/>
              </w:rPr>
            </w:r>
            <w:r/>
          </w:p>
        </w:tc>
        <w:tc>
          <w:tcPr>
            <w:tcMar>
              <w:left w:w="108" w:type="dxa"/>
              <w:top w:w="0" w:type="dxa"/>
              <w:right w:w="108" w:type="dxa"/>
              <w:bottom w:w="0" w:type="dxa"/>
            </w:tcMar>
            <w:tcW w:w="1136" w:type="dxa"/>
            <w:vAlign w:val="center"/>
            <w:textDirection w:val="lrTb"/>
            <w:noWrap w:val="false"/>
          </w:tcPr>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视听设备安装空间设计方案</w:t>
            </w:r>
            <w:r>
              <w:rPr>
                <w:color w:val="auto"/>
              </w:rPr>
            </w:r>
            <w:r/>
          </w:p>
        </w:tc>
        <w:tc>
          <w:tcPr>
            <w:gridSpan w:val="2"/>
            <w:tcMar>
              <w:left w:w="108" w:type="dxa"/>
              <w:top w:w="0" w:type="dxa"/>
              <w:right w:w="108" w:type="dxa"/>
              <w:bottom w:w="0" w:type="dxa"/>
            </w:tcMar>
            <w:tcW w:w="6125" w:type="dxa"/>
            <w:vAlign w:val="center"/>
            <w:textDirection w:val="lrTb"/>
            <w:noWrap w:val="false"/>
          </w:tcPr>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为保障影视项目顺利实施，投标人应充分理解项目需求，在投标前如需勘察现场，可联系采购人。勘察重点需涵盖：视听设备安装空间（如弧形幕布墙面尺寸、投影投射距离、音响声学环境）、影片制作区域布局条件（如后期工作站摆放空间、线路预埋需求），确保提交的设计方案与现场实际状况完全匹配，且满足本项目及招标人的影视内容生产、视听展示应用要求。</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投标人应标时提供的设计方案需涵盖以下关键内容，需做到详尽全面、技术手段先进且具备前瞻性，充分考虑设备安装调试、影片制作流程、后期维护等潜在问题：</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1、平面布局图：运用 3dsMax、SketchUp 等专业绘图软件（非二维 CAD 平面图纸）制作高分辨率彩色立体平面图，直观展现影视项目核心空间布局。需明确标注两大板块内容：</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视听设备部署区：弧形幕布的安装尺寸（宽度、高度、曲率半径）、投影设备（含主机、镜头）的安装位置与投射路径、音响（含主箱、环绕箱、低音炮）的点位分布、播放控制系统操作台的布局，精确标注各设备间的距离参数（如投影到幕布的投射距离、音响间距）。</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2、功能分区图：绘制清晰简洁的功能分区图，合理确定比例尺并明确各分区界限，采用不同颜色或图案区分三大核心区域：</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设备控制区：标注播放控制系统操作区、设备运维检修区等细分功能，确保分区名称与功能概述字体醒目易读。</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3、动线分析图：制作详细的动线分析图，用不同颜色线条区分四类核心动线：</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制作人员动线：从入口到后期工作站、素材存储区的日常操作路线；</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观影/参观人员动线：从入口到视听展示区的观影路线（需避开设备操作区）；</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设备运维动线：覆盖投影/音响/弧形幕布/播放控制器的安装、检修、更换路径（需考虑大型设备如弧形幕布的搬运通道）；</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紧急疏散动线：严格按照消防安全规范设计，避开设备密集区与线路预埋区域。</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鸟瞰图：提交5张不同视角（正上方、前侧上方45度、后侧上方45度、左侧上方45度、右侧上方45度）的高清晰度鸟瞰图。需通过逼真的材质（如弧形幕布的幕面材质、投影设备的金属质感）与光影效果（如投影投射到幕布的画面模拟、音响设备的灯光标识），展示项目整体布局：</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5、关键节点设计方案及效果图：针对项目核心节点，提供不低于16张的高质量设计方案及效果图，精准呈现各节点的设计理念、技术参数与预期应用效果：</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弧形幕布安装节点：展示幕布固定方式（墙面/天花吊装）、与周边墙体/地面的衔接细节、曲率精度控制方案；</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投影系统部署节点：展示投影设备安装角度、镜头参数（焦距、投射比）、画面校正方案（含边缘融合效果模拟）；</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音响阵列布置节点：展示音响安装高度、间距、指向角度，标注声场覆盖范围与声学参数（如信噪比、频率响应）；</w:t>
            </w:r>
            <w:r>
              <w:rPr>
                <w:color w:val="auto"/>
              </w:rPr>
            </w:r>
            <w:r/>
          </w:p>
          <w:p>
            <w:pPr>
              <w:ind w:left="0" w:right="0" w:firstLine="0"/>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播放控制系统节点：展示控制台布局（含设备接口、操作面板）、与投影/音响/幕布的联动逻辑、应急切换方案；</w:t>
            </w:r>
            <w:r>
              <w:rPr>
                <w:color w:val="auto"/>
              </w:rPr>
            </w:r>
            <w:r/>
          </w:p>
        </w:tc>
        <w:tc>
          <w:tcPr>
            <w:tcMar>
              <w:left w:w="108" w:type="dxa"/>
              <w:top w:w="0" w:type="dxa"/>
              <w:right w:w="108" w:type="dxa"/>
              <w:bottom w:w="0" w:type="dxa"/>
            </w:tcMar>
            <w:tcW w:w="639"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w:t>
            </w:r>
            <w:r>
              <w:rPr>
                <w:color w:val="auto"/>
              </w:rPr>
            </w:r>
            <w:r/>
          </w:p>
        </w:tc>
        <w:tc>
          <w:tcPr>
            <w:tcMar>
              <w:left w:w="108" w:type="dxa"/>
              <w:top w:w="0" w:type="dxa"/>
              <w:right w:w="108" w:type="dxa"/>
              <w:bottom w:w="0" w:type="dxa"/>
            </w:tcMar>
            <w:tcW w:w="605" w:type="dxa"/>
            <w:vAlign w:val="center"/>
            <w:textDirection w:val="lrTb"/>
            <w:noWrap w:val="false"/>
          </w:tcPr>
          <w:p>
            <w:pPr>
              <w:ind w:left="0" w:right="0" w:firstLine="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套</w:t>
            </w:r>
            <w:r>
              <w:rPr>
                <w:color w:val="auto"/>
              </w:rPr>
            </w:r>
            <w:r/>
          </w:p>
        </w:tc>
      </w:tr>
    </w:tbl>
    <w:p>
      <w:pPr>
        <w:pStyle w:val="662"/>
        <w:ind w:left="0" w:right="0" w:firstLine="0"/>
        <w:spacing w:before="163" w:after="24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3.技术性能</w:t>
      </w:r>
      <w:r>
        <w:rPr>
          <w:rFonts w:ascii="SimSun" w:hAnsi="SimSun" w:eastAsia="SimSun" w:cs="SimSun"/>
          <w:color w:val="auto"/>
          <w:sz w:val="24"/>
          <w:u w:val="none"/>
        </w:rPr>
        <w:t xml:space="preserve">要求：</w:t>
      </w:r>
      <w:r>
        <w:rPr>
          <w:color w:val="auto"/>
        </w:rPr>
      </w:r>
      <w:r/>
    </w:p>
    <w:p>
      <w:pPr>
        <w:ind w:left="5" w:right="0" w:firstLine="415"/>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视频制作要具备先进的制作技术，以及充实的制作班底，拥有丰富的制作经验。编剧、导演要具备战争题材相关项目经验，提供相关证明文件。动画师、特效师具备同级别项目或大型国内项目制作经验，提供相关证明材料。投标单位需提供先进的设备供项目制作使用，并使用国内外先进的制作软件（含自主研发软件，如需可提供相关大型项目制作方案）。</w:t>
      </w:r>
      <w:r>
        <w:rPr>
          <w:color w:val="auto"/>
        </w:rPr>
      </w:r>
      <w:r/>
    </w:p>
    <w:p>
      <w:pPr>
        <w:ind w:left="5" w:right="0" w:firstLine="415"/>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(2)制作完成1部淮海战役题材</w:t>
      </w:r>
      <w:r>
        <w:rPr>
          <w:rFonts w:ascii="Times New Roman" w:hAnsi="Times New Roman" w:eastAsia="Times New Roman" w:cs="Times New Roman"/>
          <w:color w:val="auto"/>
          <w:sz w:val="24"/>
        </w:rPr>
        <w:t xml:space="preserve">3D</w:t>
      </w:r>
      <w:r>
        <w:rPr>
          <w:rFonts w:ascii="SimSun" w:hAnsi="SimSun" w:eastAsia="SimSun" w:cs="SimSun"/>
          <w:color w:val="auto"/>
          <w:sz w:val="24"/>
        </w:rPr>
        <w:t xml:space="preserve">动画影片（写实风格），时长20分钟，影片分辨率4K，全景声道，帧速率为30帧/s。</w:t>
      </w:r>
      <w:r>
        <w:rPr>
          <w:color w:val="auto"/>
        </w:rPr>
      </w:r>
      <w:r/>
    </w:p>
    <w:p>
      <w:pPr>
        <w:ind w:left="5" w:right="0" w:firstLine="415"/>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项目制作理念:本项目以“技术为笔，历史为魂”为核心理念，致力于通过写实三维动画技术，精准还原历史战场原貌。采用高精度建模、PBR物理渲染及4K贴图，真实再现场景、角色与装备；结合动作捕捉与全景声技术，营造身临其境的沉浸式视听体验。通过宏大战争场面与细腻情感刻画，生动展现英雄事迹的悲壮与崇高，实现历史教育、艺术观赏与情感共鸣的深度融合。</w:t>
      </w:r>
      <w:r>
        <w:rPr>
          <w:color w:val="auto"/>
        </w:rPr>
      </w:r>
      <w:r/>
    </w:p>
    <w:p>
      <w:pPr>
        <w:ind w:left="5" w:right="0" w:firstLine="415"/>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(4)技术要求：</w:t>
      </w:r>
      <w:r>
        <w:rPr>
          <w:color w:val="auto"/>
        </w:rPr>
      </w:r>
      <w:r/>
    </w:p>
    <w:p>
      <w:pPr>
        <w:pStyle w:val="658"/>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1.分辨率：4K UHD (3840×2160)</w:t>
      </w:r>
      <w:r>
        <w:rPr>
          <w:color w:val="auto"/>
        </w:rPr>
      </w:r>
      <w:r/>
    </w:p>
    <w:p>
      <w:pPr>
        <w:pStyle w:val="658"/>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2.帧率：30fps</w:t>
      </w:r>
      <w:r>
        <w:rPr>
          <w:color w:val="auto"/>
        </w:rPr>
      </w:r>
      <w:r/>
    </w:p>
    <w:p>
      <w:pPr>
        <w:pStyle w:val="658"/>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3.编码：H.265/HEVC Main 10 @ L5.1</w:t>
      </w:r>
      <w:r>
        <w:rPr>
          <w:color w:val="auto"/>
        </w:rPr>
      </w:r>
      <w:r/>
    </w:p>
    <w:p>
      <w:pPr>
        <w:pStyle w:val="658"/>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4.色深：10bit，支持HDR</w:t>
      </w:r>
      <w:r>
        <w:rPr>
          <w:color w:val="auto"/>
        </w:rPr>
      </w:r>
      <w:r/>
    </w:p>
    <w:p>
      <w:pPr>
        <w:pStyle w:val="658"/>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5.色域：DCI-P3</w:t>
      </w:r>
      <w:r>
        <w:rPr>
          <w:color w:val="auto"/>
        </w:rPr>
      </w:r>
      <w:r/>
    </w:p>
    <w:p>
      <w:pPr>
        <w:pStyle w:val="658"/>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6.音频：Dolby Atmos / DTS:X，7.1.4声道，无损编码</w:t>
      </w:r>
      <w:r>
        <w:rPr>
          <w:color w:val="auto"/>
        </w:rPr>
      </w:r>
      <w:r/>
    </w:p>
    <w:p>
      <w:pPr>
        <w:pStyle w:val="658"/>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7.服务内容：涵盖剧本编写、导演执导、编剧创意、3D建模、动画制作、特效渲染、配音与音效设计等全环节。</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六、演示要求：</w:t>
        <w:br/>
        <w:t xml:space="preserve">根据评分细则内容上传（三维模型展示）演示视频至苏彩云平台（时长30-60秒）</w:t>
      </w:r>
      <w:r>
        <w:rPr>
          <w:color w:val="auto"/>
        </w:rPr>
      </w:r>
      <w:r/>
    </w:p>
    <w:p>
      <w:pPr>
        <w:ind w:left="0" w:right="0" w:firstLine="48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注：本项目递交样片的内容与投标文件所述不一致的，供应商应承担样片被评委全部否定的风险，一旦被否定，该样片分为0。递交的样片仅作为评分使用，不作为资格性、符合性审查的依据。</w:t>
      </w:r>
      <w:r>
        <w:rPr>
          <w:color w:val="auto"/>
        </w:rPr>
      </w:r>
      <w:r/>
    </w:p>
    <w:p>
      <w:pPr>
        <w:ind w:left="0" w:right="0" w:firstLine="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七、项目实施要求：</w:t>
      </w:r>
      <w:r>
        <w:rPr>
          <w:color w:val="auto"/>
        </w:rPr>
      </w:r>
      <w:r/>
    </w:p>
    <w:p>
      <w:pPr>
        <w:ind w:left="5" w:right="0" w:firstLine="415"/>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中标人所配备的技术参数及功能，必须严格按照详细技术参数要求提供，在满足功能的前提下要使用当下主流软硬件设备。投标人能够充分理解本项目需求，提交的设计方案须根据现场勘察实际情况设计，符合本项目及询价人应用要求，设计方案详尽全面，应用的技术手段先进，能前瞻性地考虑到实施应用中可能遇到的各项问题。</w:t>
      </w:r>
      <w:r>
        <w:rPr>
          <w:color w:val="auto"/>
        </w:rPr>
      </w:r>
      <w:r/>
    </w:p>
    <w:p>
      <w:pPr>
        <w:ind w:left="5" w:right="0" w:firstLine="415"/>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2.中标人所提供的软、硬件设备都需具有原厂（软件开发单位）授权文件，保证采购的软硬件设备不涉及相关法律责任。若因未授权而产生的所有法律责任由中标人全权负责。</w:t>
      </w:r>
      <w:r>
        <w:rPr>
          <w:color w:val="auto"/>
        </w:rPr>
      </w:r>
      <w:r/>
    </w:p>
    <w:p>
      <w:pPr>
        <w:ind w:left="5" w:right="0" w:firstLine="415"/>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3.中标人负责全部产品的装、运、卸，并按到货时间运至询价人指定的地点，其费用及保险等其他费用包含在投标总价内。</w:t>
      </w:r>
      <w:r>
        <w:rPr>
          <w:color w:val="auto"/>
        </w:rPr>
      </w:r>
      <w:r/>
    </w:p>
    <w:p>
      <w:pPr>
        <w:ind w:left="5" w:right="0" w:firstLine="415"/>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4.中标标的发货前按照相关标准及要求进行设备性能、质量、运行等检验，检验过程需进行文字或视频记录，确保设备各项性能参数合格、各类配件齐全无遗漏后，装箱发货。</w:t>
      </w:r>
      <w:r>
        <w:rPr>
          <w:color w:val="auto"/>
        </w:rPr>
      </w:r>
      <w:r/>
    </w:p>
    <w:p>
      <w:pPr>
        <w:ind w:left="5" w:right="0" w:firstLine="415"/>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5.装箱发货后，中标人需派技术人员到采购人现场进行指导安装，安装全过程由中标人全权负责，安装完成后，中标人进行试运行或演示设备功能至设备正常使用。</w:t>
      </w:r>
      <w:r>
        <w:rPr>
          <w:color w:val="auto"/>
        </w:rPr>
      </w:r>
      <w:r/>
    </w:p>
    <w:p>
      <w:pPr>
        <w:ind w:left="5" w:right="0" w:firstLine="415"/>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6.设备到货时中标需供产品整机及部件的质量证明书包括：生产许可证、产品合格证、出厂检验报告、使用说明书等。设备采用的外购、外协件应提供原产地证明及检验合格证书。</w:t>
      </w:r>
      <w:r>
        <w:rPr>
          <w:color w:val="auto"/>
        </w:rPr>
      </w:r>
      <w:r/>
    </w:p>
    <w:p>
      <w:pPr>
        <w:pStyle w:val="662"/>
        <w:ind w:left="0" w:right="0" w:firstLine="480"/>
        <w:spacing w:before="163" w:after="24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7. </w:t>
      </w:r>
      <w:r>
        <w:rPr>
          <w:rFonts w:ascii="SimSun" w:hAnsi="SimSun" w:eastAsia="SimSun" w:cs="SimSun"/>
          <w:color w:val="auto"/>
          <w:sz w:val="24"/>
          <w:u w:val="none"/>
        </w:rPr>
        <w:t xml:space="preserve">技术资料：</w:t>
      </w:r>
      <w:r>
        <w:rPr>
          <w:rFonts w:ascii="SimSun" w:hAnsi="SimSun" w:eastAsia="SimSun" w:cs="SimSun"/>
          <w:color w:val="auto"/>
          <w:sz w:val="24"/>
        </w:rPr>
        <w:t xml:space="preserve">中标人应随机提供设备装箱单、使用说明书、易损件明细表并附图、出厂检验报告、产品合格证、矿用安全标志证书、防爆合格证、设备操作规程等。对于其它没有提到的技术资料，但确实是设备所必须的文件和资料，一经发现，中标人也应及时免费提供。如设备软件升级后，中标人应及时免费提供新的技术资料。 </w:t>
      </w:r>
      <w:r>
        <w:rPr>
          <w:color w:val="auto"/>
        </w:rPr>
      </w:r>
      <w:r/>
    </w:p>
    <w:p>
      <w:pPr>
        <w:ind w:left="0" w:right="0" w:firstLine="48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8. 交付进度：合同签订后210天内交货并完成安装调试。</w:t>
      </w:r>
      <w:r>
        <w:rPr>
          <w:color w:val="auto"/>
        </w:rPr>
      </w:r>
      <w:r/>
    </w:p>
    <w:p>
      <w:pPr>
        <w:pStyle w:val="662"/>
        <w:ind w:left="0" w:right="0" w:firstLine="480"/>
        <w:spacing w:before="163" w:after="24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9. 包装及运输(含大件运输)</w:t>
      </w:r>
      <w:r>
        <w:rPr>
          <w:color w:val="auto"/>
        </w:rPr>
      </w:r>
      <w:r/>
    </w:p>
    <w:p>
      <w:pPr>
        <w:ind w:left="0" w:right="0" w:firstLine="48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设备的包装运输必须符合国家及行业相关标准要求，表面应有产品标志，包括制造厂名、产品名称、产品型号或标记、制造日期或编号等内容，包装箱上应按设备特点，按需要分别加上“勿倒置”、“小心轻放”、防潮、防霉、防锈、防腐蚀等保护措施和标记，以保证货物在没有任何损坏或腐蚀的情况下安全运抵合同设备安装地点。设备到货后应包装完好，适合露天存放。</w:t>
      </w:r>
      <w:r>
        <w:rPr>
          <w:color w:val="auto"/>
        </w:rPr>
      </w:r>
      <w:r/>
    </w:p>
    <w:p>
      <w:pPr>
        <w:ind w:left="0" w:right="0" w:firstLine="48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由中标人负责运送到合同签订地点，运费、装卸费、保险费、包装费已包括在合同总价内，所有费用（运费、卸车费）均由中标人承担。对货物到达使用单位时不派人送货或随机资料不齐全，导致无法验收入库，由此造成的损失由中标人承担。</w:t>
      </w:r>
      <w:r>
        <w:rPr>
          <w:color w:val="auto"/>
        </w:rPr>
      </w:r>
      <w:r/>
    </w:p>
    <w:p>
      <w:pPr>
        <w:ind w:left="0" w:right="0" w:firstLine="48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包装所用的材料及包装物结构具有较强的可复原性，以保证货物在现场开箱后能方便地按原包装复原。将尽量考虑安装现场潮湿的环境，采用防潮湿包装。在包装货物时，按货物类别进行装箱。</w:t>
      </w:r>
      <w:r>
        <w:rPr>
          <w:rFonts w:ascii="SimSun" w:hAnsi="SimSun" w:eastAsia="SimSun" w:cs="SimSun"/>
          <w:color w:val="auto"/>
          <w:sz w:val="24"/>
          <w:u w:val="none"/>
        </w:rPr>
        <w:t xml:space="preserve">备品备件将在包装箱外加以注明，分批或一次性发货。</w:t>
      </w:r>
      <w:r>
        <w:rPr>
          <w:rFonts w:ascii="SimSun" w:hAnsi="SimSun" w:eastAsia="SimSun" w:cs="SimSun"/>
          <w:color w:val="auto"/>
          <w:sz w:val="24"/>
        </w:rPr>
        <w:t xml:space="preserve">专用工具应分别包装。各种设备的松散零部件将采用好的包装方式装入尺寸适当的箱内。</w:t>
      </w:r>
      <w:r>
        <w:rPr>
          <w:color w:val="auto"/>
        </w:rPr>
      </w:r>
      <w:r/>
    </w:p>
    <w:p>
      <w:pPr>
        <w:pStyle w:val="662"/>
        <w:ind w:left="0" w:right="0" w:firstLine="0"/>
        <w:spacing w:before="163" w:after="24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八、投标人踏勘现场</w:t>
      </w:r>
      <w:r>
        <w:rPr>
          <w:color w:val="auto"/>
        </w:rPr>
      </w:r>
      <w:r/>
    </w:p>
    <w:p>
      <w:pPr>
        <w:pStyle w:val="660"/>
        <w:ind w:left="0" w:right="0" w:firstLine="480"/>
        <w:jc w:val="center"/>
        <w:spacing w:before="0" w:after="0" w:line="4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为了准确掌握实际情况，投标人如需现场勘查，可联系：沈科长，联系电话：0516-83860090。现场勘查需提前1天预约。</w:t>
      </w:r>
      <w:r>
        <w:rPr>
          <w:color w:val="auto"/>
        </w:rPr>
      </w:r>
      <w:r/>
    </w:p>
    <w:p>
      <w:pPr>
        <w:pStyle w:val="662"/>
        <w:ind w:left="0" w:right="0" w:firstLine="0"/>
        <w:spacing w:before="163" w:after="240" w:line="36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u w:val="none"/>
        </w:rPr>
        <w:t xml:space="preserve">九、售后服务要求：</w:t>
      </w:r>
      <w:r>
        <w:rPr>
          <w:color w:val="auto"/>
        </w:rPr>
      </w:r>
      <w:r/>
    </w:p>
    <w:p>
      <w:pPr>
        <w:ind w:left="0" w:right="0" w:firstLine="48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u w:val="none"/>
        </w:rPr>
        <w:t xml:space="preserve">（1）</w:t>
      </w:r>
      <w:r>
        <w:rPr>
          <w:rFonts w:ascii="SimSun" w:hAnsi="SimSun" w:eastAsia="SimSun" w:cs="SimSun"/>
          <w:color w:val="auto"/>
          <w:sz w:val="24"/>
        </w:rPr>
        <w:t xml:space="preserve">本项目所涉及硬件售后维护均按照国家三包规定执行，提供不少于12个月免费质保，质保期内中标人对所供货物实行包修、包换、包退、包维护保养及合同约定的其它事项，质保期内由于设备维修所产生的全部费用由中标人承担；软件系统满足现有使用和未来补充、定制开发的需求，产品稳定、延续，可免费升级。</w:t>
      </w:r>
      <w:r>
        <w:rPr>
          <w:color w:val="auto"/>
        </w:rPr>
      </w:r>
      <w:r/>
    </w:p>
    <w:p>
      <w:pPr>
        <w:ind w:left="0" w:right="0" w:firstLine="48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（2）系统安装调试期间，中标人必须向采购人现场派出有经验的、有资格的专业技术人员（当地缴满2年以上社保人员）保证安装、调试、性能测试以及培训等工作能够圆满实施，保证用户设备可正常使用。</w:t>
      </w:r>
      <w:r>
        <w:rPr>
          <w:color w:val="auto"/>
        </w:rPr>
      </w:r>
      <w:r/>
    </w:p>
    <w:p>
      <w:pPr>
        <w:ind w:left="0" w:right="0" w:firstLine="48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中标人必须为采购人提供7*24小时服务，提供电话及网络在线技术服务支持，若提供的软件/系统等出现故障，询价人出通知后，中标人应立刻网络或电话帮助解决问题，在半小时内提出修复计划，并于48小时内解决问题；如需到场维修，专业技术人员必须接到报修信息后6小时内赶赴现场，为用户解决问题。在软件版本更新后，主动上门为采购人提供系统免费上门维护、升级服务。</w:t>
      </w:r>
      <w:r>
        <w:rPr>
          <w:color w:val="auto"/>
        </w:rPr>
      </w:r>
      <w:r/>
    </w:p>
    <w:p>
      <w:pPr>
        <w:ind w:left="0" w:right="0" w:firstLine="48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设备硬件及软件（含配套实施）质保期为安装验收合格投入使用后12个月，质保期内中标人对所有设备（含配件）的软硬件在遇到故障的情况下无条件免费保修及更换，因使用不合格配件材料和不符合要求的安装工艺造成的设备质量问题，经双方委托有资质的部门鉴定确认后，对采购人造成的一切损失全部由中标人，并进行无条件更换不合格件。</w:t>
      </w:r>
      <w:r>
        <w:rPr>
          <w:color w:val="auto"/>
        </w:rPr>
      </w:r>
      <w:r/>
    </w:p>
    <w:p>
      <w:pPr>
        <w:ind w:left="0" w:right="0" w:firstLine="48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（6）系统质保期外，中标人必须为使用单位提供与保修期同等质量的服务，包括服务响应时间、到达现场时间、处理问题能力等，对更换的设备，中标人须书面承诺只收取成本（承诺书格式自拟）。</w:t>
      </w:r>
      <w:r>
        <w:rPr>
          <w:color w:val="auto"/>
        </w:rPr>
      </w:r>
      <w:r/>
    </w:p>
    <w:p>
      <w:pPr>
        <w:ind w:left="0" w:right="0" w:firstLine="480"/>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（7）所有设备安装到位并验收合格后，由中标人提供详细的培训计划及课程安排，对培训中相关人员进行半个月系统性的免费面授培训，使相关人员能够独立、熟练地操作培训室各类设备与软件系统。</w:t>
      </w:r>
      <w:r>
        <w:rPr>
          <w:color w:val="auto"/>
        </w:rPr>
      </w:r>
      <w:r/>
    </w:p>
    <w:p>
      <w:pPr>
        <w:ind w:left="0" w:right="0" w:firstLine="482"/>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十、项目验收：</w:t>
      </w:r>
      <w:r>
        <w:rPr>
          <w:color w:val="auto"/>
        </w:rPr>
      </w:r>
      <w:r/>
    </w:p>
    <w:p>
      <w:pPr>
        <w:numPr>
          <w:ilvl w:val="0"/>
          <w:numId w:val="12"/>
        </w:numPr>
        <w:spacing w:before="0" w:after="0" w:line="85" w:lineRule="atLeast"/>
        <w:tabs>
          <w:tab w:val="left" w:pos="312"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本项目验收工作由采购人委托第三方公司实施，验收单位需依据本项目招标文件、采购合同、技术规范书及国家相关标准，对项目的交付成果（含货物质量、安装调试、服务履约等）进行全面核查、测试与评估，出具客观、公正的《项目验收报告》。</w:t>
      </w:r>
      <w:r>
        <w:rPr>
          <w:color w:val="auto"/>
        </w:rPr>
      </w:r>
      <w:r/>
    </w:p>
    <w:p>
      <w:pPr>
        <w:numPr>
          <w:ilvl w:val="0"/>
          <w:numId w:val="12"/>
        </w:numPr>
        <w:spacing w:before="0" w:after="0" w:line="85" w:lineRule="atLeast"/>
        <w:tabs>
          <w:tab w:val="left" w:pos="312" w:leader="none"/>
        </w:tabs>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验收单位出具的《项目验收报告》经采购人确认后，作为项目最终验收合格、支付尾款及履约评价的核心依据；验收中发现的问题，由验收单位书面反馈中标人，督促其限期整改并复核。验收合格后方视为项目交付完成。</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241"/>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十一、其他内容和要求：</w:t>
      </w:r>
      <w:r>
        <w:rPr>
          <w:rFonts w:ascii="SimSun" w:hAnsi="SimSun" w:eastAsia="SimSun" w:cs="SimSun"/>
          <w:color w:val="auto"/>
          <w:sz w:val="24"/>
        </w:rPr>
        <w:t xml:space="preserve">见第五章《拟签订的合同文本》。</w:t>
        <w:br w:type="page" w:clear="all"/>
      </w:r>
      <w:r>
        <w:rPr>
          <w:color w:val="auto"/>
        </w:rPr>
      </w:r>
      <w:r/>
    </w:p>
    <w:p>
      <w:pPr>
        <w:pStyle w:val="658"/>
        <w:ind w:left="0" w:right="0" w:firstLine="0"/>
        <w:jc w:val="center"/>
        <w:spacing w:before="0" w:after="0" w:line="54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rPr>
        <w:t xml:space="preserve">第七章</w:t>
      </w:r>
      <w:r>
        <w:rPr>
          <w:rFonts w:ascii="Arial" w:hAnsi="Arial" w:eastAsia="Arial" w:cs="Arial"/>
          <w:b/>
          <w:color w:val="auto"/>
          <w:sz w:val="36"/>
        </w:rPr>
        <w:t xml:space="preserve"> </w:t>
      </w:r>
      <w:r>
        <w:rPr>
          <w:rFonts w:ascii="SimSun" w:hAnsi="SimSun" w:eastAsia="SimSun" w:cs="SimSun"/>
          <w:b/>
          <w:color w:val="auto"/>
          <w:sz w:val="36"/>
        </w:rPr>
        <w:t xml:space="preserve">投标文件相关格式</w:t>
      </w:r>
      <w:r>
        <w:rPr>
          <w:color w:val="auto"/>
        </w:rPr>
      </w:r>
      <w:r/>
    </w:p>
    <w:p>
      <w:pPr>
        <w:pStyle w:val="660"/>
        <w:ind w:left="0" w:right="0" w:firstLine="0"/>
        <w:jc w:val="center"/>
        <w:spacing w:before="0" w:after="0" w:line="4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一、投标函格式</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致：江苏中际招标代理有限公司</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根据</w:t>
      </w:r>
      <w:r>
        <w:rPr>
          <w:rFonts w:ascii="SimSun" w:hAnsi="SimSun" w:eastAsia="SimSun" w:cs="SimSun"/>
          <w:color w:val="auto"/>
          <w:sz w:val="24"/>
          <w:u w:val="single"/>
        </w:rPr>
        <w:t xml:space="preserve">          </w:t>
      </w:r>
      <w:r>
        <w:rPr>
          <w:rFonts w:ascii="SimSun" w:hAnsi="SimSun" w:eastAsia="SimSun" w:cs="SimSun"/>
          <w:color w:val="auto"/>
          <w:sz w:val="24"/>
        </w:rPr>
        <w:t xml:space="preserve">项目</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项目编号：</w:t>
      </w:r>
      <w:r>
        <w:rPr>
          <w:rFonts w:ascii="SimSun" w:hAnsi="SimSun" w:eastAsia="SimSun" w:cs="SimSun"/>
          <w:color w:val="auto"/>
          <w:sz w:val="24"/>
          <w:u w:val="single"/>
        </w:rPr>
        <w:t xml:space="preserve">      </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招标文件，</w:t>
      </w:r>
      <w:r>
        <w:rPr>
          <w:rFonts w:ascii="SimSun" w:hAnsi="SimSun" w:eastAsia="SimSun" w:cs="SimSun"/>
          <w:color w:val="auto"/>
          <w:sz w:val="24"/>
          <w:u w:val="single"/>
        </w:rPr>
        <w:t xml:space="preserve">          </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姓名</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代表我方</w:t>
      </w:r>
      <w:r>
        <w:rPr>
          <w:rFonts w:ascii="SimSun" w:hAnsi="SimSun" w:eastAsia="SimSun" w:cs="SimSun"/>
          <w:color w:val="auto"/>
          <w:sz w:val="24"/>
          <w:u w:val="single"/>
        </w:rPr>
        <w:t xml:space="preserve">     </w:t>
      </w:r>
      <w:r>
        <w:rPr>
          <w:rFonts w:ascii="SimSun" w:hAnsi="SimSun" w:eastAsia="SimSun" w:cs="SimSun"/>
          <w:color w:val="auto"/>
          <w:sz w:val="24"/>
        </w:rPr>
        <w:t xml:space="preserve">（投标人的名称）全权处理本次投标的有关事宜。</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据此函，投标人承诺并同意如下： </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 </w:t>
      </w:r>
      <w:r>
        <w:rPr>
          <w:rFonts w:ascii="SimSun" w:hAnsi="SimSun" w:eastAsia="SimSun" w:cs="SimSun"/>
          <w:color w:val="auto"/>
          <w:sz w:val="24"/>
        </w:rPr>
        <w:t xml:space="preserve"> 投标人唯一投标报价见《开标一览表》。</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 </w:t>
      </w:r>
      <w:r>
        <w:rPr>
          <w:rFonts w:ascii="SimSun" w:hAnsi="SimSun" w:eastAsia="SimSun" w:cs="SimSun"/>
          <w:color w:val="auto"/>
          <w:sz w:val="24"/>
        </w:rPr>
        <w:t xml:space="preserve"> 投标人将按招标文件的规定履行合同责任和义务。</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3. </w:t>
      </w:r>
      <w:r>
        <w:rPr>
          <w:rFonts w:ascii="SimSun" w:hAnsi="SimSun" w:eastAsia="SimSun" w:cs="SimSun"/>
          <w:color w:val="auto"/>
          <w:sz w:val="24"/>
        </w:rPr>
        <w:t xml:space="preserve"> 投标人已详细审查全部招标文件，包括第</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插入编号</w:t>
      </w:r>
      <w:r>
        <w:rPr>
          <w:rFonts w:ascii="Times New Roman" w:hAnsi="Times New Roman" w:eastAsia="Times New Roman" w:cs="Times New Roman"/>
          <w:color w:val="auto"/>
          <w:sz w:val="24"/>
        </w:rPr>
        <w:t xml:space="preserve">] [</w:t>
      </w:r>
      <w:r>
        <w:rPr>
          <w:rFonts w:ascii="SimSun" w:hAnsi="SimSun" w:eastAsia="SimSun" w:cs="SimSun"/>
          <w:color w:val="auto"/>
          <w:sz w:val="24"/>
        </w:rPr>
        <w:t xml:space="preserve">补遗书</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如果有的话</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。投标人完全理解并同意放弃对这方面有不明及误解的权力。</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4. </w:t>
      </w:r>
      <w:r>
        <w:rPr>
          <w:rFonts w:ascii="SimSun" w:hAnsi="SimSun" w:eastAsia="SimSun" w:cs="SimSun"/>
          <w:color w:val="auto"/>
          <w:sz w:val="24"/>
        </w:rPr>
        <w:t xml:space="preserve"> 投标有效期为开标之日后</w:t>
      </w:r>
      <w:r>
        <w:rPr>
          <w:rFonts w:ascii="Times New Roman" w:hAnsi="Times New Roman" w:eastAsia="Times New Roman" w:cs="Times New Roman"/>
          <w:color w:val="auto"/>
          <w:sz w:val="24"/>
        </w:rPr>
        <w:t xml:space="preserve">90</w:t>
      </w:r>
      <w:r>
        <w:rPr>
          <w:rFonts w:ascii="SimSun" w:hAnsi="SimSun" w:eastAsia="SimSun" w:cs="SimSun"/>
          <w:color w:val="auto"/>
          <w:sz w:val="24"/>
        </w:rPr>
        <w:t xml:space="preserve">天。</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5. </w:t>
      </w:r>
      <w:r>
        <w:rPr>
          <w:rFonts w:ascii="SimSun" w:hAnsi="SimSun" w:eastAsia="SimSun" w:cs="SimSun"/>
          <w:color w:val="auto"/>
          <w:sz w:val="24"/>
        </w:rPr>
        <w:t xml:space="preserve"> 投标人同意提供按照贵方可能要求的与其投标有关的一切数据或资料，完全理解贵方不一定接受最低价的投标或收到的任何投标。</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6. </w:t>
      </w:r>
      <w:r>
        <w:rPr>
          <w:rFonts w:ascii="SimSun" w:hAnsi="SimSun" w:eastAsia="SimSun" w:cs="SimSun"/>
          <w:color w:val="auto"/>
          <w:sz w:val="24"/>
        </w:rPr>
        <w:t xml:space="preserve"> 投标人同意在授予合同后，按照有关规定支付公证费</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如有</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7. </w:t>
      </w:r>
      <w:r>
        <w:rPr>
          <w:rFonts w:ascii="SimSun" w:hAnsi="SimSun" w:eastAsia="SimSun" w:cs="SimSun"/>
          <w:color w:val="auto"/>
          <w:sz w:val="24"/>
        </w:rPr>
        <w:t xml:space="preserve"> 江苏中际招标代理有限公司有权将我单位本项目的《开标一览表》和《分项价格表》予以公示，公示的方式由江苏中际招标代理有限公司确定。</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8. </w:t>
      </w:r>
      <w:r>
        <w:rPr>
          <w:rFonts w:ascii="SimSun" w:hAnsi="SimSun" w:eastAsia="SimSun" w:cs="SimSun"/>
          <w:color w:val="auto"/>
          <w:sz w:val="24"/>
        </w:rPr>
        <w:t xml:space="preserve">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9. </w:t>
      </w:r>
      <w:r>
        <w:rPr>
          <w:rFonts w:ascii="SimSun" w:hAnsi="SimSun" w:eastAsia="SimSun" w:cs="SimSun"/>
          <w:color w:val="auto"/>
          <w:sz w:val="24"/>
        </w:rPr>
        <w:t xml:space="preserve"> 与本投标有关的一切正式往来信函请寄：</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地址： </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电话： </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传真：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投标人：（电子签章）</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日期：年月日</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pStyle w:val="660"/>
        <w:ind w:left="0" w:right="0" w:firstLine="0"/>
        <w:jc w:val="center"/>
        <w:spacing w:before="0" w:after="0" w:line="4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二、开标一览表格式</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项目名称：淮海战役</w:t>
      </w:r>
      <w:r>
        <w:rPr>
          <w:rFonts w:ascii="Times New Roman" w:hAnsi="Times New Roman" w:eastAsia="Times New Roman" w:cs="Times New Roman"/>
          <w:color w:val="auto"/>
          <w:sz w:val="24"/>
        </w:rPr>
        <w:t xml:space="preserve">3D</w:t>
      </w:r>
      <w:r>
        <w:rPr>
          <w:rFonts w:ascii="SimSun" w:hAnsi="SimSun" w:eastAsia="SimSun" w:cs="SimSun"/>
          <w:color w:val="auto"/>
          <w:sz w:val="24"/>
        </w:rPr>
        <w:t xml:space="preserve">动画制作与配套设施建设项目</w:t>
      </w:r>
      <w:r>
        <w:rPr>
          <w:rFonts w:ascii="Times New Roman" w:hAnsi="Times New Roman" w:eastAsia="Times New Roman" w:cs="Times New Roma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项目编号：</w:t>
      </w:r>
      <w:r>
        <w:rPr>
          <w:rFonts w:ascii="Times New Roman" w:hAnsi="Times New Roman" w:eastAsia="Times New Roman" w:cs="Times New Roman"/>
          <w:color w:val="auto"/>
          <w:sz w:val="24"/>
        </w:rPr>
        <w:t xml:space="preserve">JSZC-320300-ZJZB-G2025-0233</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货币单位：人民币元</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240"/>
        <w:gridCol w:w="2702"/>
        <w:gridCol w:w="3392"/>
      </w:tblGrid>
      <w:tr>
        <w:trPr>
          <w:trHeight w:val="9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项目名称</w:t>
            </w:r>
            <w:r>
              <w:rPr>
                <w:color w:va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02"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项目内容</w:t>
            </w:r>
            <w:r>
              <w:rPr>
                <w:color w:va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92"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总价（小写）</w:t>
            </w:r>
            <w:r>
              <w:rPr>
                <w:color w:val="auto"/>
              </w:rPr>
            </w:r>
            <w:r/>
          </w:p>
        </w:tc>
      </w:tr>
      <w:tr>
        <w:trPr>
          <w:trHeight w:val="9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淮海战役3D动画制作与配套设施建设项目</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2"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详见投标文件</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92"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r>
      <w:tr>
        <w:trPr>
          <w:trHeight w:val="10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总价（大写）：</w:t>
            </w:r>
            <w:r>
              <w:rPr>
                <w:color w:val="auto"/>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4"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r>
    </w:tbl>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spacing w:before="240" w:after="24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供应商承诺：本报价（总价）为供应商本企业提供的服务。</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both"/>
        <w:spacing w:before="240" w:after="24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报价说明：</w:t>
      </w:r>
      <w:r>
        <w:rPr>
          <w:color w:val="auto"/>
        </w:rPr>
      </w:r>
      <w:r/>
    </w:p>
    <w:p>
      <w:pPr>
        <w:ind w:left="0" w:right="0" w:firstLine="0"/>
        <w:spacing w:before="240" w:after="240" w:line="51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1、报价应包括全部内容，以及为完成上述内容所需的全部费用。</w:t>
        <w:br/>
        <w:t xml:space="preserve">2、报价以总价为准，大小写不一致以大写为准；</w:t>
        <w:br/>
        <w:t xml:space="preserve">3、偏离说明：详见《偏离表》；</w:t>
        <w:br/>
      </w:r>
      <w:r>
        <w:rPr>
          <w:color w:val="auto"/>
        </w:rPr>
      </w:r>
      <w:r/>
    </w:p>
    <w:p>
      <w:pPr>
        <w:ind w:left="0" w:right="0" w:firstLine="2760"/>
        <w:spacing w:before="240" w:after="240" w:line="47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2760"/>
        <w:spacing w:before="240" w:after="240" w:line="47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投标人：（电子签章）</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日期：年月日</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pStyle w:val="660"/>
        <w:ind w:left="0" w:right="0" w:firstLine="0"/>
        <w:jc w:val="center"/>
        <w:spacing w:before="0" w:after="0" w:line="4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 </w:t>
      </w:r>
      <w:r>
        <w:rPr>
          <w:color w:val="auto"/>
        </w:rPr>
      </w:r>
      <w:r/>
    </w:p>
    <w:p>
      <w:pPr>
        <w:pStyle w:val="660"/>
        <w:ind w:left="0" w:right="0" w:firstLine="0"/>
        <w:jc w:val="center"/>
        <w:spacing w:before="0" w:after="0" w:line="4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三、分项价格表格式</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项目名称：淮海战役</w:t>
      </w:r>
      <w:r>
        <w:rPr>
          <w:rFonts w:ascii="Times New Roman" w:hAnsi="Times New Roman" w:eastAsia="Times New Roman" w:cs="Times New Roman"/>
          <w:color w:val="auto"/>
          <w:sz w:val="24"/>
        </w:rPr>
        <w:t xml:space="preserve">3D</w:t>
      </w:r>
      <w:r>
        <w:rPr>
          <w:rFonts w:ascii="SimSun" w:hAnsi="SimSun" w:eastAsia="SimSun" w:cs="SimSun"/>
          <w:color w:val="auto"/>
          <w:sz w:val="24"/>
        </w:rPr>
        <w:t xml:space="preserve">动画制作与配套设施建设项目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项目编号：</w:t>
      </w:r>
      <w:r>
        <w:rPr>
          <w:rFonts w:ascii="Times New Roman" w:hAnsi="Times New Roman" w:eastAsia="Times New Roman" w:cs="Times New Roman"/>
          <w:color w:val="auto"/>
          <w:sz w:val="24"/>
        </w:rPr>
        <w:t xml:space="preserve">JSZC-320300-ZJZB-G2025-0233</w:t>
      </w:r>
      <w:r>
        <w:rPr>
          <w:rFonts w:ascii="SimSun" w:hAnsi="SimSun" w:eastAsia="SimSun" w:cs="SimSun"/>
          <w:color w:val="auto"/>
          <w:sz w:val="24"/>
        </w:rPr>
        <w:t xml:space="preserve">  </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货币单位：人民币元</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rPr>
        <w:t xml:space="preserve">格式自拟</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投标人：（电子签章）</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日期：年月日</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注：</w:t>
      </w:r>
      <w:r>
        <w:rPr>
          <w:color w:val="auto"/>
        </w:rPr>
      </w:r>
      <w:r/>
    </w:p>
    <w:p>
      <w:pPr>
        <w:ind w:left="0" w:right="0" w:firstLine="24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．如果不提供详细分项报价将视为没有实质性响应招标文件。</w:t>
      </w:r>
      <w:r>
        <w:rPr>
          <w:color w:val="auto"/>
        </w:rPr>
      </w:r>
      <w:r/>
    </w:p>
    <w:p>
      <w:pPr>
        <w:ind w:left="0" w:right="0" w:firstLine="24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w:t>
      </w:r>
      <w:r>
        <w:rPr>
          <w:rFonts w:ascii="SimSun" w:hAnsi="SimSun" w:eastAsia="SimSun" w:cs="SimSun"/>
          <w:color w:val="auto"/>
          <w:sz w:val="24"/>
        </w:rPr>
        <w:t xml:space="preserve">投标人对以上数据的真实性负责。</w:t>
      </w:r>
      <w:r>
        <w:rPr>
          <w:color w:val="auto"/>
        </w:rPr>
      </w:r>
      <w:r/>
    </w:p>
    <w:p>
      <w:pPr>
        <w:ind w:left="0" w:right="0" w:firstLine="24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3.</w:t>
      </w:r>
      <w:r>
        <w:rPr>
          <w:rFonts w:ascii="SimSun" w:hAnsi="SimSun" w:eastAsia="SimSun" w:cs="SimSun"/>
          <w:color w:val="auto"/>
          <w:sz w:val="24"/>
        </w:rPr>
        <w:t xml:space="preserve">报价应包括项目涉及的一切税、费等。</w:t>
      </w:r>
      <w:r>
        <w:rPr>
          <w:color w:val="auto"/>
        </w:rPr>
      </w:r>
      <w:r/>
    </w:p>
    <w:p>
      <w:pPr>
        <w:ind w:left="0" w:right="0" w:firstLine="24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4. </w:t>
      </w:r>
      <w:r>
        <w:rPr>
          <w:rFonts w:ascii="SimSun" w:hAnsi="SimSun" w:eastAsia="SimSun" w:cs="SimSun"/>
          <w:color w:val="auto"/>
          <w:sz w:val="24"/>
        </w:rPr>
        <w:t xml:space="preserve">采购人或采购代理机构有权将以上内容进行公示。</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pStyle w:val="660"/>
        <w:ind w:left="0" w:right="0" w:firstLine="0"/>
        <w:jc w:val="center"/>
        <w:spacing w:before="0" w:after="0" w:line="4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四、偏离表格式</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项目名称：淮海战役</w:t>
      </w:r>
      <w:r>
        <w:rPr>
          <w:rFonts w:ascii="Times New Roman" w:hAnsi="Times New Roman" w:eastAsia="Times New Roman" w:cs="Times New Roman"/>
          <w:color w:val="auto"/>
          <w:sz w:val="24"/>
        </w:rPr>
        <w:t xml:space="preserve">3D</w:t>
      </w:r>
      <w:r>
        <w:rPr>
          <w:rFonts w:ascii="SimSun" w:hAnsi="SimSun" w:eastAsia="SimSun" w:cs="SimSun"/>
          <w:color w:val="auto"/>
          <w:sz w:val="24"/>
        </w:rPr>
        <w:t xml:space="preserve">动画制作与配套设施建设项目</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项目编号：</w:t>
      </w:r>
      <w:r>
        <w:rPr>
          <w:rFonts w:ascii="Times New Roman" w:hAnsi="Times New Roman" w:eastAsia="Times New Roman" w:cs="Times New Roman"/>
          <w:color w:val="auto"/>
          <w:sz w:val="24"/>
        </w:rPr>
        <w:t xml:space="preserve">JSZC-320300-ZJZB-G2025-0233</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序号</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偏离内容</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招标文件的要求</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投标文件中的内容</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（正/负/无）偏离</w:t>
            </w:r>
            <w:r>
              <w:rPr>
                <w:color w:val="auto"/>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说明</w:t>
            </w:r>
            <w:r>
              <w:rPr>
                <w:color w:val="auto"/>
              </w:rPr>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tc>
      </w:tr>
    </w:tbl>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注：投标人的投标文件中的内容与招标文件（含招标文件的澄清或者修改的内容）的要求不同时，逐条列在偏离表中，否则将认为投标人接受招标文件的要求。</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投标人：（电子签章）</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日期：年月日</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pStyle w:val="660"/>
        <w:ind w:left="0" w:right="0" w:firstLine="0"/>
        <w:jc w:val="center"/>
        <w:spacing w:before="0" w:after="0" w:line="4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五、法定代表人授权书格式</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委托人：</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地址：</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法定代表人（负责人）：职务：</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统一社会信用代码：</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受托人：性别：男（女）</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年龄：岁民族：族</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职务：移动电话：</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身份证号：</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兹委托（）全权代表我企业（公司）参与（淮海战役</w:t>
      </w:r>
      <w:r>
        <w:rPr>
          <w:rFonts w:ascii="Times New Roman" w:hAnsi="Times New Roman" w:eastAsia="Times New Roman" w:cs="Times New Roman"/>
          <w:color w:val="auto"/>
          <w:sz w:val="24"/>
        </w:rPr>
        <w:t xml:space="preserve">3D</w:t>
      </w:r>
      <w:r>
        <w:rPr>
          <w:rFonts w:ascii="SimSun" w:hAnsi="SimSun" w:eastAsia="SimSun" w:cs="SimSun"/>
          <w:color w:val="auto"/>
          <w:sz w:val="24"/>
        </w:rPr>
        <w:t xml:space="preserve">动画制作与配套设施建设项目）项目（项目编号：</w:t>
      </w:r>
      <w:r>
        <w:rPr>
          <w:rFonts w:ascii="Times New Roman" w:hAnsi="Times New Roman" w:eastAsia="Times New Roman" w:cs="Times New Roman"/>
          <w:color w:val="auto"/>
          <w:sz w:val="24"/>
        </w:rPr>
        <w:t xml:space="preserve">JSZC-320300-ZJZB-G2025-0233</w:t>
      </w:r>
      <w:r>
        <w:rPr>
          <w:rFonts w:ascii="SimSun" w:hAnsi="SimSun" w:eastAsia="SimSun" w:cs="SimSun"/>
          <w:color w:val="auto"/>
          <w:sz w:val="24"/>
        </w:rPr>
        <w:t xml:space="preserve">）的招、投标活动及签订合同。（）以我企业（公司）名义所为的法律行为及签署的文件，我企业（公司）均予以认可。有关法律责任均由我企业（公司）承担。（）无转委托权。委托期限自年月日起至年月日止。</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特此授权委托。</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委托人（电子签章）</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法定代表人（签字或盖章）：          </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受托人（签字）：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年月日 </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center"/>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受托人身份证复印件附后</w:t>
      </w:r>
      <w:r>
        <w:rPr>
          <w:rFonts w:ascii="Times New Roman" w:hAnsi="Times New Roman" w:eastAsia="Times New Roman" w:cs="Times New Roman"/>
          <w:color w:val="auto"/>
          <w:sz w:val="24"/>
        </w:rPr>
        <w:t xml:space="preserve">)</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pStyle w:val="660"/>
        <w:ind w:left="0" w:right="0" w:firstLine="0"/>
        <w:jc w:val="center"/>
        <w:spacing w:before="0" w:after="0" w:line="4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六、中小企业声明函格式</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4"/>
        </w:rPr>
        <w:t xml:space="preserve">项目名称：</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4"/>
        </w:rPr>
        <w:t xml:space="preserve">项目编号：</w:t>
      </w:r>
      <w:r>
        <w:rPr>
          <w:color w:val="auto"/>
        </w:rPr>
      </w:r>
      <w:r/>
    </w:p>
    <w:p>
      <w:pPr>
        <w:ind w:left="0" w:right="0" w:firstLine="0"/>
        <w:spacing w:before="240" w:after="24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560"/>
        <w:spacing w:before="0" w:after="0" w:line="479"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4"/>
        </w:rPr>
        <w:t xml:space="preserve">本公司郑重声明，根据《政府采购促进中小企业发展管理办法》（财库 </w:t>
      </w:r>
      <w:r>
        <w:rPr>
          <w:rFonts w:ascii="SimSun" w:hAnsi="SimSun" w:eastAsia="SimSun" w:cs="SimSun"/>
          <w:color w:val="auto"/>
          <w:sz w:val="24"/>
        </w:rPr>
        <w:t xml:space="preserve">(2020)46</w:t>
      </w:r>
      <w:r>
        <w:rPr>
          <w:rFonts w:ascii="Arial" w:hAnsi="Arial" w:eastAsia="Arial" w:cs="Arial"/>
          <w:color w:val="auto"/>
          <w:sz w:val="24"/>
        </w:rPr>
        <w:t xml:space="preserve">号）的规定，本公司参加</w:t>
      </w:r>
      <w:r>
        <w:rPr>
          <w:rFonts w:ascii="Arial" w:hAnsi="Arial" w:eastAsia="Arial" w:cs="Arial"/>
          <w:color w:val="auto"/>
          <w:sz w:val="24"/>
          <w:u w:val="single"/>
        </w:rPr>
        <w:t xml:space="preserve">（单位名称）</w:t>
      </w:r>
      <w:r>
        <w:rPr>
          <w:rFonts w:ascii="Arial" w:hAnsi="Arial" w:eastAsia="Arial" w:cs="Arial"/>
          <w:color w:val="auto"/>
          <w:sz w:val="24"/>
        </w:rPr>
        <w:t xml:space="preserve">的</w:t>
      </w:r>
      <w:r>
        <w:rPr>
          <w:rFonts w:ascii="Arial" w:hAnsi="Arial" w:eastAsia="Arial" w:cs="Arial"/>
          <w:color w:val="auto"/>
          <w:sz w:val="24"/>
          <w:u w:val="single"/>
        </w:rPr>
        <w:t xml:space="preserve">（项目名称）</w:t>
      </w:r>
      <w:r>
        <w:rPr>
          <w:rFonts w:ascii="Arial" w:hAnsi="Arial" w:eastAsia="Arial" w:cs="Arial"/>
          <w:color w:val="auto"/>
          <w:sz w:val="24"/>
        </w:rPr>
        <w:t xml:space="preserve">采购活动，提供的货物全部由符合政策要求的中小企业制造。相关企业的具体情况如下：</w:t>
      </w:r>
      <w:r>
        <w:rPr>
          <w:color w:val="auto"/>
        </w:rPr>
      </w:r>
      <w:r/>
    </w:p>
    <w:p>
      <w:pPr>
        <w:ind w:left="0" w:right="0" w:firstLine="480"/>
        <w:spacing w:before="0" w:after="0" w:line="479"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4"/>
          <w:u w:val="single"/>
        </w:rPr>
        <w:t xml:space="preserve"> </w:t>
      </w:r>
      <w:r>
        <w:rPr>
          <w:color w:val="auto"/>
        </w:rPr>
      </w:r>
      <w:r/>
    </w:p>
    <w:p>
      <w:pPr>
        <w:ind w:left="0" w:right="0" w:firstLine="480"/>
        <w:spacing w:before="0" w:after="0" w:line="479"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4"/>
          <w:u w:val="single"/>
        </w:rPr>
        <w:t xml:space="preserve">（淮海战役</w:t>
      </w:r>
      <w:r>
        <w:rPr>
          <w:rFonts w:ascii="SimSun" w:hAnsi="SimSun" w:eastAsia="SimSun" w:cs="SimSun"/>
          <w:color w:val="auto"/>
          <w:sz w:val="24"/>
          <w:u w:val="single"/>
        </w:rPr>
        <w:t xml:space="preserve">3D</w:t>
      </w:r>
      <w:r>
        <w:rPr>
          <w:rFonts w:ascii="Arial" w:hAnsi="Arial" w:eastAsia="Arial" w:cs="Arial"/>
          <w:color w:val="auto"/>
          <w:sz w:val="24"/>
          <w:u w:val="single"/>
        </w:rPr>
        <w:t xml:space="preserve">动画制作与配套设施建设项目）</w:t>
      </w:r>
      <w:r>
        <w:rPr>
          <w:rFonts w:ascii="Arial" w:hAnsi="Arial" w:eastAsia="Arial" w:cs="Arial"/>
          <w:color w:val="auto"/>
          <w:sz w:val="24"/>
        </w:rPr>
        <w:t xml:space="preserve">，属于</w:t>
      </w:r>
      <w:r>
        <w:rPr>
          <w:rFonts w:ascii="Arial" w:hAnsi="Arial" w:eastAsia="Arial" w:cs="Arial"/>
          <w:color w:val="auto"/>
          <w:sz w:val="24"/>
          <w:u w:val="single"/>
        </w:rPr>
        <w:t xml:space="preserve">（软件和信息技术服务业）行业</w:t>
      </w:r>
      <w:r>
        <w:rPr>
          <w:rFonts w:ascii="Arial" w:hAnsi="Arial" w:eastAsia="Arial" w:cs="Arial"/>
          <w:color w:val="auto"/>
          <w:sz w:val="24"/>
        </w:rPr>
        <w:t xml:space="preserve">；</w:t>
      </w:r>
      <w:r>
        <w:rPr>
          <w:rFonts w:ascii="SimSun" w:hAnsi="SimSun" w:eastAsia="SimSun" w:cs="SimSun"/>
          <w:color w:val="auto"/>
          <w:sz w:val="24"/>
        </w:rPr>
        <w:t xml:space="preserve">承建（承接）企业</w:t>
      </w:r>
      <w:r>
        <w:rPr>
          <w:rFonts w:ascii="Arial" w:hAnsi="Arial" w:eastAsia="Arial" w:cs="Arial"/>
          <w:color w:val="auto"/>
          <w:sz w:val="24"/>
        </w:rPr>
        <w:t xml:space="preserve">为</w:t>
      </w:r>
      <w:r>
        <w:rPr>
          <w:rFonts w:ascii="Arial" w:hAnsi="Arial" w:eastAsia="Arial" w:cs="Arial"/>
          <w:color w:val="auto"/>
          <w:sz w:val="24"/>
          <w:u w:val="single"/>
        </w:rPr>
        <w:t xml:space="preserve">（企业名称）</w:t>
      </w:r>
      <w:r>
        <w:rPr>
          <w:rFonts w:ascii="Arial" w:hAnsi="Arial" w:eastAsia="Arial" w:cs="Arial"/>
          <w:color w:val="auto"/>
          <w:sz w:val="24"/>
        </w:rPr>
        <w:t xml:space="preserve">，从业人员</w:t>
      </w:r>
      <w:r>
        <w:rPr>
          <w:rFonts w:ascii="Arial" w:hAnsi="Arial" w:eastAsia="Arial" w:cs="Arial"/>
          <w:color w:val="auto"/>
          <w:sz w:val="24"/>
          <w:u w:val="single"/>
        </w:rPr>
        <w:t xml:space="preserve">       </w:t>
      </w:r>
      <w:r>
        <w:rPr>
          <w:rFonts w:ascii="Arial" w:hAnsi="Arial" w:eastAsia="Arial" w:cs="Arial"/>
          <w:color w:val="auto"/>
          <w:sz w:val="24"/>
        </w:rPr>
        <w:t xml:space="preserve">人， 营业收入为</w:t>
      </w:r>
      <w:r>
        <w:rPr>
          <w:rFonts w:ascii="Arial" w:hAnsi="Arial" w:eastAsia="Arial" w:cs="Arial"/>
          <w:color w:val="auto"/>
          <w:sz w:val="24"/>
          <w:u w:val="single"/>
        </w:rPr>
        <w:t xml:space="preserve">    </w:t>
      </w:r>
      <w:r>
        <w:rPr>
          <w:rFonts w:ascii="Arial" w:hAnsi="Arial" w:eastAsia="Arial" w:cs="Arial"/>
          <w:color w:val="auto"/>
          <w:sz w:val="24"/>
        </w:rPr>
        <w:t xml:space="preserve">万元，资产总额为</w:t>
      </w:r>
      <w:r>
        <w:rPr>
          <w:rFonts w:ascii="Arial" w:hAnsi="Arial" w:eastAsia="Arial" w:cs="Arial"/>
          <w:color w:val="auto"/>
          <w:sz w:val="24"/>
          <w:u w:val="single"/>
        </w:rPr>
        <w:t xml:space="preserve">    </w:t>
      </w:r>
      <w:r>
        <w:rPr>
          <w:rFonts w:ascii="Arial" w:hAnsi="Arial" w:eastAsia="Arial" w:cs="Arial"/>
          <w:color w:val="auto"/>
          <w:sz w:val="24"/>
        </w:rPr>
        <w:t xml:space="preserve">万元，</w:t>
      </w:r>
      <w:r>
        <w:rPr>
          <w:rFonts w:ascii="Arial" w:hAnsi="Arial" w:eastAsia="Arial" w:cs="Arial"/>
          <w:b/>
          <w:color w:val="auto"/>
          <w:sz w:val="24"/>
        </w:rPr>
        <w:t xml:space="preserve">属于（□中型企业、□小型企业、□微型企业，请勾选！）</w:t>
      </w:r>
      <w:r>
        <w:rPr>
          <w:rFonts w:ascii="Arial" w:hAnsi="Arial" w:eastAsia="Arial" w:cs="Arial"/>
          <w:color w:val="auto"/>
          <w:sz w:val="24"/>
        </w:rPr>
        <w:t xml:space="preserve">；</w:t>
      </w:r>
      <w:r>
        <w:rPr>
          <w:color w:val="auto"/>
        </w:rPr>
      </w:r>
      <w:r/>
    </w:p>
    <w:p>
      <w:pPr>
        <w:ind w:left="0" w:right="0" w:firstLine="560"/>
        <w:spacing w:before="0" w:after="0" w:line="479"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4"/>
        </w:rPr>
        <w:t xml:space="preserve">……</w:t>
      </w:r>
      <w:r>
        <w:rPr>
          <w:color w:val="auto"/>
        </w:rPr>
      </w:r>
      <w:r/>
    </w:p>
    <w:p>
      <w:pPr>
        <w:ind w:left="0" w:right="0" w:firstLine="560"/>
        <w:spacing w:before="0" w:after="0" w:line="479"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4"/>
        </w:rPr>
        <w:t xml:space="preserve"> </w:t>
      </w:r>
      <w:r>
        <w:rPr>
          <w:color w:val="auto"/>
        </w:rPr>
      </w:r>
      <w:r/>
    </w:p>
    <w:p>
      <w:pPr>
        <w:ind w:left="0" w:right="0" w:firstLine="560"/>
        <w:spacing w:before="0" w:after="0" w:line="479"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4"/>
        </w:rPr>
        <w:t xml:space="preserve">以上企业，不属于大企业的分支机构，不存在控股股东为大企业的情形，也不存在与大企业的负责人为同一人的情形。</w:t>
      </w:r>
      <w:r>
        <w:rPr>
          <w:color w:val="auto"/>
        </w:rPr>
      </w:r>
      <w:r/>
    </w:p>
    <w:p>
      <w:pPr>
        <w:ind w:left="0" w:right="0" w:firstLine="560"/>
        <w:spacing w:before="0" w:after="0" w:line="479"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4"/>
        </w:rPr>
        <w:t xml:space="preserve">本企业对上述声明内容的真实性负责。如有虚假，将依法承担相应责任。</w:t>
      </w:r>
      <w:r>
        <w:rPr>
          <w:color w:val="auto"/>
        </w:rPr>
      </w:r>
      <w:r/>
    </w:p>
    <w:p>
      <w:pPr>
        <w:ind w:left="0" w:right="0" w:firstLine="560"/>
        <w:spacing w:before="0" w:after="0" w:line="47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投标人：（电子签章）</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日期：年月日</w:t>
      </w:r>
      <w:r>
        <w:rPr>
          <w:color w:val="auto"/>
        </w:rPr>
      </w:r>
      <w:r/>
    </w:p>
    <w:p>
      <w:pPr>
        <w:ind w:left="0" w:right="0" w:firstLine="560"/>
        <w:spacing w:before="0" w:after="0" w:line="47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479"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b/>
          <w:color w:val="auto"/>
          <w:sz w:val="24"/>
        </w:rPr>
        <w:t xml:space="preserve">备注：</w:t>
      </w:r>
      <w:r>
        <w:rPr>
          <w:color w:val="auto"/>
        </w:rPr>
      </w:r>
      <w:r/>
    </w:p>
    <w:p>
      <w:pPr>
        <w:ind w:left="0" w:right="0" w:firstLine="480"/>
        <w:spacing w:before="0" w:after="0" w:line="47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1</w:t>
      </w:r>
      <w:r>
        <w:rPr>
          <w:rFonts w:ascii="Arial" w:hAnsi="Arial" w:eastAsia="Arial" w:cs="Arial"/>
          <w:b/>
          <w:color w:val="auto"/>
          <w:sz w:val="24"/>
        </w:rPr>
        <w:t xml:space="preserve">、本项目采购的服务属于</w:t>
      </w:r>
      <w:r>
        <w:rPr>
          <w:rFonts w:ascii="Arial" w:hAnsi="Arial" w:eastAsia="Arial" w:cs="Arial"/>
          <w:b/>
          <w:color w:val="auto"/>
          <w:sz w:val="24"/>
          <w:u w:val="single"/>
        </w:rPr>
        <w:t xml:space="preserve"> 软件和信息技术服务业 </w:t>
      </w:r>
      <w:r>
        <w:rPr>
          <w:rFonts w:ascii="Arial" w:hAnsi="Arial" w:eastAsia="Arial" w:cs="Arial"/>
          <w:b/>
          <w:color w:val="auto"/>
          <w:sz w:val="24"/>
        </w:rPr>
        <w:t xml:space="preserve">。</w:t>
      </w:r>
      <w:r>
        <w:rPr>
          <w:color w:val="auto"/>
        </w:rPr>
      </w:r>
      <w:r/>
    </w:p>
    <w:p>
      <w:pPr>
        <w:ind w:left="0" w:right="0" w:firstLine="480"/>
        <w:spacing w:before="0" w:after="0" w:line="47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2</w:t>
      </w:r>
      <w:r>
        <w:rPr>
          <w:rFonts w:ascii="Arial" w:hAnsi="Arial" w:eastAsia="Arial" w:cs="Arial"/>
          <w:b/>
          <w:color w:val="auto"/>
          <w:sz w:val="24"/>
        </w:rPr>
        <w:t xml:space="preserve">、从业人员、营业收入、资产总额填报上一年度数据，无上一年度数据的新成立企业可不填报。</w:t>
      </w:r>
      <w:r>
        <w:rPr>
          <w:color w:val="auto"/>
        </w:rPr>
      </w:r>
      <w:r/>
    </w:p>
    <w:p>
      <w:pPr>
        <w:ind w:left="0" w:right="0" w:firstLine="480"/>
        <w:spacing w:before="0" w:after="0" w:line="47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3</w:t>
      </w:r>
      <w:r>
        <w:rPr>
          <w:rFonts w:ascii="Arial" w:hAnsi="Arial" w:eastAsia="Arial" w:cs="Arial"/>
          <w:b/>
          <w:color w:val="auto"/>
          <w:sz w:val="24"/>
        </w:rPr>
        <w:t xml:space="preserve">、《中小企业声明函》查询渠道参考工业和信息化部发布的中小企业规模自测小程序。</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4"/>
        </w:rPr>
        <w:t xml:space="preserve">附件：中小企业规模类型自测小程序</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p>
      <w:pPr>
        <w:ind w:left="0" w:right="0" w:firstLine="420"/>
        <w:jc w:val="center"/>
        <w:spacing w:before="0" w:after="0" w:line="360" w:lineRule="atLeast"/>
        <w:rPr>
          <w:color w:val="auto"/>
        </w:rPr>
        <w:pBdr>
          <w:top w:val="none" w:color="000000" w:sz="4" w:space="0"/>
          <w:left w:val="none" w:color="000000" w:sz="4" w:space="0"/>
          <w:bottom w:val="none" w:color="000000" w:sz="4" w:space="0"/>
          <w:right w:val="none" w:color="000000" w:sz="4" w:space="0"/>
        </w:pBdr>
      </w:pPr>
      <w:r>
        <w:rPr>
          <w:color w:val="auto"/>
        </w:rPr>
      </w:r>
      <w:r>
        <mc:AlternateContent>
          <mc:Choice Requires="wpg">
            <w:drawing>
              <wp:inline xmlns:wp="http://schemas.openxmlformats.org/drawingml/2006/wordprocessingDrawing" distT="0" distB="0" distL="0" distR="0">
                <wp:extent cx="2705100" cy="54006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215458" name=""/>
                        <pic:cNvPicPr>
                          <a:picLocks noChangeAspect="1"/>
                        </pic:cNvPicPr>
                        <pic:nvPr/>
                      </pic:nvPicPr>
                      <pic:blipFill>
                        <a:blip r:embed="rId20"/>
                        <a:stretch/>
                      </pic:blipFill>
                      <pic:spPr bwMode="auto">
                        <a:xfrm>
                          <a:off x="0" y="0"/>
                          <a:ext cx="2705099" cy="54006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3.0pt;height:425.2pt;mso-wrap-distance-left:0.0pt;mso-wrap-distance-top:0.0pt;mso-wrap-distance-right:0.0pt;mso-wrap-distance-bottom:0.0pt;" stroked="false">
                <v:path textboxrect="0,0,0,0"/>
                <v:imagedata r:id="rId20" o:title=""/>
              </v:shape>
            </w:pict>
          </mc:Fallback>
        </mc:AlternateContent>
      </w:r>
      <w:r>
        <w:rPr>
          <w:rFonts w:ascii="SimSun" w:hAnsi="SimSun" w:eastAsia="SimSun" w:cs="SimSu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pStyle w:val="660"/>
        <w:ind w:left="0" w:right="0" w:firstLine="0"/>
        <w:jc w:val="center"/>
        <w:spacing w:before="0" w:after="0" w:line="4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七、残疾人福利性单位声明函格式</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项目名称：淮海战役</w:t>
      </w:r>
      <w:r>
        <w:rPr>
          <w:rFonts w:ascii="Times New Roman" w:hAnsi="Times New Roman" w:eastAsia="Times New Roman" w:cs="Times New Roman"/>
          <w:color w:val="auto"/>
          <w:sz w:val="24"/>
        </w:rPr>
        <w:t xml:space="preserve">3D</w:t>
      </w:r>
      <w:r>
        <w:rPr>
          <w:rFonts w:ascii="SimSun" w:hAnsi="SimSun" w:eastAsia="SimSun" w:cs="SimSun"/>
          <w:color w:val="auto"/>
          <w:sz w:val="24"/>
        </w:rPr>
        <w:t xml:space="preserve">动画制作与配套设施建设项目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项目编号：</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本单位郑重声明，根据《财政部 民政部 中国残疾人联合会关于促进残疾人就业政府采购政策的通知》（财库〔</w:t>
      </w:r>
      <w:r>
        <w:rPr>
          <w:rFonts w:ascii="Times New Roman" w:hAnsi="Times New Roman" w:eastAsia="Times New Roman" w:cs="Times New Roman"/>
          <w:color w:val="auto"/>
          <w:sz w:val="24"/>
        </w:rPr>
        <w:t xml:space="preserve">2017</w:t>
      </w:r>
      <w:r>
        <w:rPr>
          <w:rFonts w:ascii="SimSun" w:hAnsi="SimSun" w:eastAsia="SimSun" w:cs="SimSun"/>
          <w:color w:val="auto"/>
          <w:sz w:val="24"/>
        </w:rPr>
        <w:t xml:space="preserve">〕 </w:t>
      </w:r>
      <w:r>
        <w:rPr>
          <w:rFonts w:ascii="Times New Roman" w:hAnsi="Times New Roman" w:eastAsia="Times New Roman" w:cs="Times New Roman"/>
          <w:color w:val="auto"/>
          <w:sz w:val="24"/>
        </w:rPr>
        <w:t xml:space="preserve">141</w:t>
      </w:r>
      <w:r>
        <w:rPr>
          <w:rFonts w:ascii="SimSun" w:hAnsi="SimSun" w:eastAsia="SimSun" w:cs="SimSun"/>
          <w:color w:val="auto"/>
          <w:sz w:val="24"/>
        </w:rPr>
        <w:t xml:space="preserve">号）的规定，本单位为符合条件的残疾人福利性单位，且本单位参加</w:t>
      </w:r>
      <w:r>
        <w:rPr>
          <w:rFonts w:ascii="Times New Roman" w:hAnsi="Times New Roman" w:eastAsia="Times New Roman" w:cs="Times New Roman"/>
          <w:color w:val="auto"/>
          <w:sz w:val="24"/>
        </w:rPr>
        <w:t xml:space="preserve">______</w:t>
      </w:r>
      <w:r>
        <w:rPr>
          <w:rFonts w:ascii="SimSun" w:hAnsi="SimSun" w:eastAsia="SimSun" w:cs="SimSun"/>
          <w:color w:val="auto"/>
          <w:sz w:val="24"/>
        </w:rPr>
        <w:t xml:space="preserve">单位的</w:t>
      </w:r>
      <w:r>
        <w:rPr>
          <w:rFonts w:ascii="Times New Roman" w:hAnsi="Times New Roman" w:eastAsia="Times New Roman" w:cs="Times New Roman"/>
          <w:color w:val="auto"/>
          <w:sz w:val="24"/>
        </w:rPr>
        <w:t xml:space="preserve">______</w:t>
      </w:r>
      <w:r>
        <w:rPr>
          <w:rFonts w:ascii="SimSun" w:hAnsi="SimSun" w:eastAsia="SimSun" w:cs="SimSun"/>
          <w:color w:val="auto"/>
          <w:sz w:val="24"/>
        </w:rPr>
        <w:t xml:space="preserve">项目采购活动提供本单位制造的货物（由本单位承担工程</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提供服务），或者提供其他残疾人福利性单位制造的货物（不包括使用非残疾人福利性单位注册商标的货物）。</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本单位对上述声明的真实性负责。如有虚假，将依法承担相应责任。</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投标人：（电子签章）</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日期：年月日</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pStyle w:val="660"/>
        <w:ind w:left="0" w:right="0" w:firstLine="0"/>
        <w:jc w:val="center"/>
        <w:spacing w:before="0" w:after="0" w:line="4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八、投标人参加政府采购活动前</w:t>
      </w:r>
      <w:r>
        <w:rPr>
          <w:rFonts w:ascii="Arial" w:hAnsi="Arial" w:eastAsia="Arial" w:cs="Arial"/>
          <w:b/>
          <w:color w:val="auto"/>
          <w:sz w:val="30"/>
        </w:rPr>
        <w:t xml:space="preserve">3</w:t>
      </w:r>
      <w:r>
        <w:rPr>
          <w:rFonts w:ascii="SimSun" w:hAnsi="SimSun" w:eastAsia="SimSun" w:cs="SimSun"/>
          <w:b/>
          <w:color w:val="auto"/>
          <w:sz w:val="30"/>
        </w:rPr>
        <w:t xml:space="preserve">年内在经营活动中没有重大违法记录的书面声明格式</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我单位在参加淮海战役</w:t>
      </w:r>
      <w:r>
        <w:rPr>
          <w:rFonts w:ascii="Times New Roman" w:hAnsi="Times New Roman" w:eastAsia="Times New Roman" w:cs="Times New Roman"/>
          <w:color w:val="auto"/>
          <w:sz w:val="24"/>
        </w:rPr>
        <w:t xml:space="preserve">3D</w:t>
      </w:r>
      <w:r>
        <w:rPr>
          <w:rFonts w:ascii="SimSun" w:hAnsi="SimSun" w:eastAsia="SimSun" w:cs="SimSun"/>
          <w:color w:val="auto"/>
          <w:sz w:val="24"/>
        </w:rPr>
        <w:t xml:space="preserve">动画制作与配套设施建设项目（项目编号：）政府采购活动前</w:t>
      </w:r>
      <w:r>
        <w:rPr>
          <w:rFonts w:ascii="Times New Roman" w:hAnsi="Times New Roman" w:eastAsia="Times New Roman" w:cs="Times New Roman"/>
          <w:color w:val="auto"/>
          <w:sz w:val="24"/>
        </w:rPr>
        <w:t xml:space="preserve">3</w:t>
      </w:r>
      <w:r>
        <w:rPr>
          <w:rFonts w:ascii="SimSun" w:hAnsi="SimSun" w:eastAsia="SimSun" w:cs="SimSun"/>
          <w:color w:val="auto"/>
          <w:sz w:val="24"/>
        </w:rPr>
        <w:t xml:space="preserve">年内，在经营活动中没有重大违法记录。重大违法记录是指因违法经营受到刑事处罚或者责令停产停业、吊销许可证或者执照、较大数额罚款等行政处罚。</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我单位对上述声明的真实性负责。如有虚假，将依法承担相应责任。</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投标人：（电子签章）</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日期：年月日</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color w:val="auto"/>
        </w:rPr>
        <w:br w:type="page" w:clear="all"/>
      </w:r>
      <w:r>
        <w:rPr>
          <w:color w:val="auto"/>
        </w:rPr>
      </w:r>
      <w:r/>
    </w:p>
    <w:p>
      <w:pPr>
        <w:pStyle w:val="660"/>
        <w:ind w:left="0" w:right="0" w:firstLine="0"/>
        <w:jc w:val="center"/>
        <w:spacing w:before="0" w:after="0" w:line="4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九、投标人具备履行合同所必需的设备和专业技术能力承诺书</w:t>
      </w:r>
      <w:r>
        <w:rPr>
          <w:color w:val="auto"/>
        </w:rPr>
      </w:r>
      <w:r/>
    </w:p>
    <w:p>
      <w:pPr>
        <w:pStyle w:val="660"/>
        <w:ind w:left="0" w:right="0" w:firstLine="0"/>
        <w:jc w:val="both"/>
        <w:spacing w:before="0" w:after="0" w:line="4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pStyle w:val="660"/>
        <w:ind w:left="0" w:right="0" w:firstLine="0"/>
        <w:jc w:val="both"/>
        <w:spacing w:before="0" w:after="0" w:line="4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pStyle w:val="660"/>
        <w:ind w:left="0" w:right="0" w:firstLine="0"/>
        <w:jc w:val="both"/>
        <w:spacing w:before="0" w:after="0" w:line="4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项目名称：</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项目编号：</w:t>
      </w:r>
      <w:r>
        <w:rPr>
          <w:color w:val="auto"/>
        </w:rPr>
      </w:r>
      <w:r/>
    </w:p>
    <w:p>
      <w:pPr>
        <w:ind w:left="0" w:right="0" w:firstLine="42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 </w:t>
      </w:r>
      <w:r>
        <w:rPr>
          <w:color w:val="auto"/>
        </w:rPr>
      </w:r>
      <w:r/>
    </w:p>
    <w:p>
      <w:pPr>
        <w:pStyle w:val="660"/>
        <w:ind w:left="0" w:right="0" w:firstLine="0"/>
        <w:jc w:val="both"/>
        <w:spacing w:before="0" w:after="0" w:line="4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     </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我单位郑重声明：我单位具备履行合同（项目名称：</w:t>
      </w:r>
      <w:r>
        <w:rPr>
          <w:rFonts w:ascii="SimSun" w:hAnsi="SimSun" w:eastAsia="SimSun" w:cs="SimSun"/>
          <w:color w:val="auto"/>
          <w:sz w:val="24"/>
          <w:u w:val="single"/>
        </w:rPr>
        <w:t xml:space="preserve">    </w:t>
      </w:r>
      <w:r>
        <w:rPr>
          <w:rFonts w:ascii="SimSun" w:hAnsi="SimSun" w:eastAsia="SimSun" w:cs="SimSun"/>
          <w:color w:val="auto"/>
          <w:sz w:val="24"/>
        </w:rPr>
        <w:t xml:space="preserve">，项目编号：</w:t>
      </w:r>
      <w:r>
        <w:rPr>
          <w:rFonts w:ascii="SimSun" w:hAnsi="SimSun" w:eastAsia="SimSun" w:cs="SimSun"/>
          <w:color w:val="auto"/>
          <w:sz w:val="24"/>
          <w:u w:val="single"/>
        </w:rPr>
        <w:t xml:space="preserve">     </w:t>
      </w:r>
      <w:r>
        <w:rPr>
          <w:rFonts w:ascii="SimSun" w:hAnsi="SimSun" w:eastAsia="SimSun" w:cs="SimSun"/>
          <w:color w:val="auto"/>
          <w:sz w:val="24"/>
        </w:rPr>
        <w:t xml:space="preserve">）所必需的设备和专业技术能力，具体为：</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设备：</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 （证明材料原件的扫描件附后）</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 （证明材料原件的扫描件附后）</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 （证明材料原件的扫描件附后）</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专业技术能力：</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 （证明材料原件的扫描件附后）</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 （证明材料原件的扫描件附后）</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 （证明材料原件的扫描件附后）</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特此声明。</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我单位对上述声明的真实性负责。如有虚假，将依法承担相应责任。</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投标人：（电子签章）</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jc w:val="right"/>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日期：年月日</w:t>
      </w:r>
      <w:r>
        <w:rPr>
          <w:color w:val="auto"/>
        </w:rPr>
      </w:r>
      <w:r/>
    </w:p>
    <w:p>
      <w:pPr>
        <w:pStyle w:val="660"/>
        <w:ind w:left="0" w:right="0" w:firstLine="0"/>
        <w:jc w:val="center"/>
        <w:spacing w:before="0" w:after="0" w:line="4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 </w:t>
      </w:r>
      <w:r>
        <w:rPr>
          <w:color w:val="auto"/>
        </w:rPr>
      </w:r>
      <w:r/>
    </w:p>
    <w:p>
      <w:pPr>
        <w:pStyle w:val="660"/>
        <w:ind w:left="0" w:right="0" w:firstLine="0"/>
        <w:jc w:val="center"/>
        <w:spacing w:before="0" w:after="0" w:line="4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 </w:t>
      </w:r>
      <w:r>
        <w:rPr>
          <w:color w:val="auto"/>
        </w:rPr>
      </w:r>
      <w:r/>
    </w:p>
    <w:p>
      <w:pPr>
        <w:pStyle w:val="660"/>
        <w:ind w:left="0" w:right="0" w:firstLine="0"/>
        <w:jc w:val="center"/>
        <w:spacing w:before="0" w:after="0" w:line="4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42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pStyle w:val="660"/>
        <w:ind w:left="0" w:right="0" w:firstLine="0"/>
        <w:jc w:val="center"/>
        <w:spacing w:before="0" w:after="0" w:line="45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 </w:t>
      </w:r>
      <w:r>
        <w:rPr>
          <w:color w:val="auto"/>
        </w:rPr>
      </w:r>
      <w:r/>
    </w:p>
    <w:p>
      <w:pPr>
        <w:shd w:val="nil" w:color="auto"/>
        <w:rPr>
          <w:rFonts w:ascii="Arial" w:hAnsi="Arial" w:eastAsia="Arial" w:cs="Arial"/>
          <w:color w:val="auto"/>
          <w:sz w:val="30"/>
          <w:szCs w:val="30"/>
        </w:rPr>
      </w:pPr>
      <w:r>
        <w:rPr>
          <w:rFonts w:ascii="SimSun" w:hAnsi="SimSun" w:eastAsia="SimSun" w:cs="SimSun"/>
          <w:b/>
          <w:color w:val="auto"/>
          <w:sz w:val="30"/>
          <w:highlight w:val="none"/>
        </w:rPr>
        <w:br w:type="page" w:clear="all"/>
      </w:r>
      <w:r>
        <w:rPr>
          <w:rFonts w:ascii="SimSun" w:hAnsi="SimSun" w:eastAsia="SimSun" w:cs="SimSun"/>
          <w:b/>
          <w:color w:val="auto"/>
          <w:sz w:val="30"/>
          <w:highlight w:val="none"/>
        </w:rPr>
      </w:r>
      <w:r/>
    </w:p>
    <w:p>
      <w:pPr>
        <w:pStyle w:val="660"/>
        <w:ind w:left="0" w:right="0" w:firstLine="0"/>
        <w:jc w:val="center"/>
        <w:spacing w:before="0" w:after="0" w:line="450" w:lineRule="atLeast"/>
        <w:rPr>
          <w:rFonts w:ascii="SimSun" w:hAnsi="SimSun" w:eastAsia="SimSun" w:cs="SimSun"/>
          <w:b/>
          <w:bCs/>
          <w:color w:val="auto"/>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十、预付款保函支付条款模板</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符合条件一：提交预付款保函的</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）合同签订且乙方向甲方出具预付款保函后</w:t>
      </w:r>
      <w:r>
        <w:rPr>
          <w:rFonts w:ascii="SimSun" w:hAnsi="SimSun" w:eastAsia="SimSun" w:cs="SimSun"/>
          <w:color w:val="auto"/>
          <w:sz w:val="24"/>
          <w:u w:val="single"/>
        </w:rPr>
        <w:t xml:space="preserve">    </w:t>
      </w:r>
      <w:r>
        <w:rPr>
          <w:rFonts w:ascii="SimSun" w:hAnsi="SimSun" w:eastAsia="SimSun" w:cs="SimSun"/>
          <w:color w:val="auto"/>
          <w:sz w:val="24"/>
        </w:rPr>
        <w:t xml:space="preserve">个工作日内，甲方应支付合同价款的百分之</w:t>
      </w:r>
      <w:r>
        <w:rPr>
          <w:rFonts w:ascii="SimSun" w:hAnsi="SimSun" w:eastAsia="SimSun" w:cs="SimSun"/>
          <w:color w:val="auto"/>
          <w:sz w:val="24"/>
          <w:u w:val="single"/>
        </w:rPr>
        <w:t xml:space="preserve">        </w:t>
      </w:r>
      <w:r>
        <w:rPr>
          <w:rFonts w:ascii="Times New Roman" w:hAnsi="Times New Roman" w:eastAsia="Times New Roman" w:cs="Times New Roman"/>
          <w:color w:val="auto"/>
          <w:sz w:val="24"/>
          <w:u w:val="single"/>
        </w:rPr>
        <w:t xml:space="preserve">XX</w:t>
      </w:r>
      <w:r>
        <w:rPr>
          <w:rFonts w:ascii="SimSun" w:hAnsi="SimSun" w:eastAsia="SimSun" w:cs="SimSun"/>
          <w:color w:val="auto"/>
          <w:sz w:val="24"/>
          <w:u w:val="single"/>
        </w:rPr>
        <w:t xml:space="preserve">（    </w:t>
      </w:r>
      <w:r>
        <w:rPr>
          <w:rFonts w:ascii="Times New Roman" w:hAnsi="Times New Roman" w:eastAsia="Times New Roman" w:cs="Times New Roman"/>
          <w:color w:val="auto"/>
          <w:sz w:val="24"/>
          <w:u w:val="single"/>
        </w:rPr>
        <w:t xml:space="preserve">XX%</w:t>
      </w:r>
      <w:r>
        <w:rPr>
          <w:rFonts w:ascii="SimSun" w:hAnsi="SimSun" w:eastAsia="SimSun" w:cs="SimSun"/>
          <w:color w:val="auto"/>
          <w:sz w:val="24"/>
          <w:u w:val="single"/>
        </w:rPr>
        <w:t xml:space="preserve">）</w:t>
      </w:r>
      <w:r>
        <w:rPr>
          <w:rFonts w:ascii="SimSun" w:hAnsi="SimSun" w:eastAsia="SimSun" w:cs="SimSun"/>
          <w:color w:val="auto"/>
          <w:sz w:val="24"/>
        </w:rPr>
        <w:t xml:space="preserve">，小写￥</w:t>
      </w:r>
      <w:r>
        <w:rPr>
          <w:rFonts w:ascii="SimSun" w:hAnsi="SimSun" w:eastAsia="SimSun" w:cs="SimSun"/>
          <w:color w:val="auto"/>
          <w:sz w:val="24"/>
          <w:u w:val="single"/>
        </w:rPr>
        <w:t xml:space="preserve">      </w:t>
      </w:r>
      <w:r>
        <w:rPr>
          <w:rFonts w:ascii="SimSun" w:hAnsi="SimSun" w:eastAsia="SimSun" w:cs="SimSun"/>
          <w:color w:val="auto"/>
          <w:sz w:val="24"/>
        </w:rPr>
        <w:t xml:space="preserve">大写：人民币</w:t>
      </w:r>
      <w:r>
        <w:rPr>
          <w:rFonts w:ascii="SimSun" w:hAnsi="SimSun" w:eastAsia="SimSun" w:cs="SimSun"/>
          <w:color w:val="auto"/>
          <w:sz w:val="24"/>
          <w:u w:val="single"/>
        </w:rPr>
        <w:t xml:space="preserve">          </w:t>
      </w:r>
      <w:r>
        <w:rPr>
          <w:rFonts w:ascii="SimSun" w:hAnsi="SimSun" w:eastAsia="SimSun" w:cs="SimSun"/>
          <w:color w:val="auto"/>
          <w:sz w:val="24"/>
        </w:rPr>
        <w:t xml:space="preserve">。</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乙方需提交的支付文件：乙方出具的全额正式发票。</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2</w:t>
      </w:r>
      <w:r>
        <w:rPr>
          <w:rFonts w:ascii="SimSun" w:hAnsi="SimSun" w:eastAsia="SimSun" w:cs="SimSun"/>
          <w:color w:val="auto"/>
          <w:sz w:val="24"/>
        </w:rPr>
        <w:t xml:space="preserve">）验收合格后</w:t>
      </w:r>
      <w:r>
        <w:rPr>
          <w:rFonts w:ascii="SimSun" w:hAnsi="SimSun" w:eastAsia="SimSun" w:cs="SimSun"/>
          <w:color w:val="auto"/>
          <w:sz w:val="24"/>
          <w:u w:val="single"/>
        </w:rPr>
        <w:t xml:space="preserve">   </w:t>
      </w:r>
      <w:r>
        <w:rPr>
          <w:rFonts w:ascii="SimSun" w:hAnsi="SimSun" w:eastAsia="SimSun" w:cs="SimSun"/>
          <w:color w:val="auto"/>
          <w:sz w:val="24"/>
        </w:rPr>
        <w:t xml:space="preserve">个工作日内，甲方应支付合同价款的百分之</w:t>
      </w:r>
      <w:r>
        <w:rPr>
          <w:rFonts w:ascii="Times New Roman" w:hAnsi="Times New Roman" w:eastAsia="Times New Roman" w:cs="Times New Roman"/>
          <w:color w:val="auto"/>
          <w:sz w:val="24"/>
          <w:u w:val="single"/>
        </w:rPr>
        <w:t xml:space="preserve">XX</w:t>
      </w:r>
      <w:r>
        <w:rPr>
          <w:rFonts w:ascii="SimSun" w:hAnsi="SimSun" w:eastAsia="SimSun" w:cs="SimSun"/>
          <w:color w:val="auto"/>
          <w:sz w:val="24"/>
          <w:u w:val="single"/>
        </w:rPr>
        <w:t xml:space="preserve">（    </w:t>
      </w:r>
      <w:r>
        <w:rPr>
          <w:rFonts w:ascii="Times New Roman" w:hAnsi="Times New Roman" w:eastAsia="Times New Roman" w:cs="Times New Roman"/>
          <w:color w:val="auto"/>
          <w:sz w:val="24"/>
          <w:u w:val="single"/>
        </w:rPr>
        <w:t xml:space="preserve">XX%</w:t>
      </w:r>
      <w:r>
        <w:rPr>
          <w:rFonts w:ascii="SimSun" w:hAnsi="SimSun" w:eastAsia="SimSun" w:cs="SimSun"/>
          <w:color w:val="auto"/>
          <w:sz w:val="24"/>
          <w:u w:val="single"/>
        </w:rPr>
        <w:t xml:space="preserve">）</w:t>
      </w:r>
      <w:r>
        <w:rPr>
          <w:rFonts w:ascii="SimSun" w:hAnsi="SimSun" w:eastAsia="SimSun" w:cs="SimSun"/>
          <w:color w:val="auto"/>
          <w:sz w:val="24"/>
        </w:rPr>
        <w:t xml:space="preserve">，小写￥</w:t>
      </w:r>
      <w:r>
        <w:rPr>
          <w:rFonts w:ascii="SimSun" w:hAnsi="SimSun" w:eastAsia="SimSun" w:cs="SimSun"/>
          <w:color w:val="auto"/>
          <w:sz w:val="24"/>
          <w:u w:val="single"/>
        </w:rPr>
        <w:t xml:space="preserve">      </w:t>
      </w:r>
      <w:r>
        <w:rPr>
          <w:rFonts w:ascii="SimSun" w:hAnsi="SimSun" w:eastAsia="SimSun" w:cs="SimSun"/>
          <w:color w:val="auto"/>
          <w:sz w:val="24"/>
        </w:rPr>
        <w:t xml:space="preserve">大写：人民币</w:t>
      </w:r>
      <w:r>
        <w:rPr>
          <w:rFonts w:ascii="SimSun" w:hAnsi="SimSun" w:eastAsia="SimSun" w:cs="SimSun"/>
          <w:color w:val="auto"/>
          <w:sz w:val="24"/>
          <w:u w:val="single"/>
        </w:rPr>
        <w:t xml:space="preserve">          </w:t>
      </w:r>
      <w:r>
        <w:rPr>
          <w:rFonts w:ascii="SimSun" w:hAnsi="SimSun" w:eastAsia="SimSun" w:cs="SimSun"/>
          <w:color w:val="auto"/>
          <w:sz w:val="24"/>
        </w:rPr>
        <w:t xml:space="preserve">。</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color w:val="auto"/>
        </w:rPr>
      </w:r>
      <w:r/>
    </w:p>
    <w:p>
      <w:pPr>
        <w:ind w:left="0" w:right="0" w:firstLine="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符合条件二：不提交预付款保函的</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）合同签订后</w:t>
      </w:r>
      <w:r>
        <w:rPr>
          <w:rFonts w:ascii="SimSun" w:hAnsi="SimSun" w:eastAsia="SimSun" w:cs="SimSun"/>
          <w:color w:val="auto"/>
          <w:sz w:val="24"/>
          <w:u w:val="single"/>
        </w:rPr>
        <w:t xml:space="preserve">   </w:t>
      </w:r>
      <w:r>
        <w:rPr>
          <w:rFonts w:ascii="SimSun" w:hAnsi="SimSun" w:eastAsia="SimSun" w:cs="SimSun"/>
          <w:color w:val="auto"/>
          <w:sz w:val="24"/>
        </w:rPr>
        <w:t xml:space="preserve">个工作日内，甲方应支付合同价款的百分之</w:t>
      </w:r>
      <w:r>
        <w:rPr>
          <w:rFonts w:ascii="Times New Roman" w:hAnsi="Times New Roman" w:eastAsia="Times New Roman" w:cs="Times New Roman"/>
          <w:color w:val="auto"/>
          <w:sz w:val="24"/>
          <w:u w:val="single"/>
        </w:rPr>
        <w:t xml:space="preserve">XX</w:t>
      </w:r>
      <w:r>
        <w:rPr>
          <w:rFonts w:ascii="SimSun" w:hAnsi="SimSun" w:eastAsia="SimSun" w:cs="SimSun"/>
          <w:color w:val="auto"/>
          <w:sz w:val="24"/>
          <w:u w:val="single"/>
        </w:rPr>
        <w:t xml:space="preserve">（    </w:t>
      </w:r>
      <w:r>
        <w:rPr>
          <w:rFonts w:ascii="Times New Roman" w:hAnsi="Times New Roman" w:eastAsia="Times New Roman" w:cs="Times New Roman"/>
          <w:color w:val="auto"/>
          <w:sz w:val="24"/>
          <w:u w:val="single"/>
        </w:rPr>
        <w:t xml:space="preserve">XX%</w:t>
      </w:r>
      <w:r>
        <w:rPr>
          <w:rFonts w:ascii="SimSun" w:hAnsi="SimSun" w:eastAsia="SimSun" w:cs="SimSun"/>
          <w:color w:val="auto"/>
          <w:sz w:val="24"/>
          <w:u w:val="single"/>
        </w:rPr>
        <w:t xml:space="preserve">）</w:t>
      </w:r>
      <w:r>
        <w:rPr>
          <w:rFonts w:ascii="SimSun" w:hAnsi="SimSun" w:eastAsia="SimSun" w:cs="SimSun"/>
          <w:color w:val="auto"/>
          <w:sz w:val="24"/>
        </w:rPr>
        <w:t xml:space="preserve">，小写￥</w:t>
      </w:r>
      <w:r>
        <w:rPr>
          <w:rFonts w:ascii="SimSun" w:hAnsi="SimSun" w:eastAsia="SimSun" w:cs="SimSun"/>
          <w:color w:val="auto"/>
          <w:sz w:val="24"/>
          <w:u w:val="single"/>
        </w:rPr>
        <w:t xml:space="preserve">      </w:t>
      </w:r>
      <w:r>
        <w:rPr>
          <w:rFonts w:ascii="SimSun" w:hAnsi="SimSun" w:eastAsia="SimSun" w:cs="SimSun"/>
          <w:color w:val="auto"/>
          <w:sz w:val="24"/>
        </w:rPr>
        <w:t xml:space="preserve">大写：人民币</w:t>
      </w:r>
      <w:r>
        <w:rPr>
          <w:rFonts w:ascii="SimSun" w:hAnsi="SimSun" w:eastAsia="SimSun" w:cs="SimSun"/>
          <w:color w:val="auto"/>
          <w:sz w:val="24"/>
          <w:u w:val="single"/>
        </w:rPr>
        <w:t xml:space="preserve">          </w:t>
      </w:r>
      <w:r>
        <w:rPr>
          <w:rFonts w:ascii="SimSun" w:hAnsi="SimSun" w:eastAsia="SimSun" w:cs="SimSun"/>
          <w:color w:val="auto"/>
          <w:sz w:val="24"/>
        </w:rPr>
        <w:t xml:space="preserve">。</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乙方需提交的支付文件：乙方出具的全额正式发票。</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2</w:t>
      </w:r>
      <w:r>
        <w:rPr>
          <w:rFonts w:ascii="SimSun" w:hAnsi="SimSun" w:eastAsia="SimSun" w:cs="SimSun"/>
          <w:color w:val="auto"/>
          <w:sz w:val="24"/>
        </w:rPr>
        <w:t xml:space="preserve">）验收合格后</w:t>
      </w:r>
      <w:r>
        <w:rPr>
          <w:rFonts w:ascii="SimSun" w:hAnsi="SimSun" w:eastAsia="SimSun" w:cs="SimSun"/>
          <w:color w:val="auto"/>
          <w:sz w:val="24"/>
          <w:u w:val="single"/>
        </w:rPr>
        <w:t xml:space="preserve">   </w:t>
      </w:r>
      <w:r>
        <w:rPr>
          <w:rFonts w:ascii="SimSun" w:hAnsi="SimSun" w:eastAsia="SimSun" w:cs="SimSun"/>
          <w:color w:val="auto"/>
          <w:sz w:val="24"/>
        </w:rPr>
        <w:t xml:space="preserve">个工作日内，甲方应支付合同价款的百分之</w:t>
      </w:r>
      <w:r>
        <w:rPr>
          <w:rFonts w:ascii="Times New Roman" w:hAnsi="Times New Roman" w:eastAsia="Times New Roman" w:cs="Times New Roman"/>
          <w:color w:val="auto"/>
          <w:sz w:val="24"/>
          <w:u w:val="single"/>
        </w:rPr>
        <w:t xml:space="preserve">XX</w:t>
      </w:r>
      <w:r>
        <w:rPr>
          <w:rFonts w:ascii="SimSun" w:hAnsi="SimSun" w:eastAsia="SimSun" w:cs="SimSun"/>
          <w:color w:val="auto"/>
          <w:sz w:val="24"/>
          <w:u w:val="single"/>
        </w:rPr>
        <w:t xml:space="preserve">（    </w:t>
      </w:r>
      <w:r>
        <w:rPr>
          <w:rFonts w:ascii="Times New Roman" w:hAnsi="Times New Roman" w:eastAsia="Times New Roman" w:cs="Times New Roman"/>
          <w:color w:val="auto"/>
          <w:sz w:val="24"/>
          <w:u w:val="single"/>
        </w:rPr>
        <w:t xml:space="preserve">XX%</w:t>
      </w:r>
      <w:r>
        <w:rPr>
          <w:rFonts w:ascii="SimSun" w:hAnsi="SimSun" w:eastAsia="SimSun" w:cs="SimSun"/>
          <w:color w:val="auto"/>
          <w:sz w:val="24"/>
          <w:u w:val="single"/>
        </w:rPr>
        <w:t xml:space="preserve">）</w:t>
      </w:r>
      <w:r>
        <w:rPr>
          <w:rFonts w:ascii="SimSun" w:hAnsi="SimSun" w:eastAsia="SimSun" w:cs="SimSun"/>
          <w:color w:val="auto"/>
          <w:sz w:val="24"/>
        </w:rPr>
        <w:t xml:space="preserve">，小写￥</w:t>
      </w:r>
      <w:r>
        <w:rPr>
          <w:rFonts w:ascii="SimSun" w:hAnsi="SimSun" w:eastAsia="SimSun" w:cs="SimSun"/>
          <w:color w:val="auto"/>
          <w:sz w:val="24"/>
          <w:u w:val="single"/>
        </w:rPr>
        <w:t xml:space="preserve">      </w:t>
      </w:r>
      <w:r>
        <w:rPr>
          <w:rFonts w:ascii="SimSun" w:hAnsi="SimSun" w:eastAsia="SimSun" w:cs="SimSun"/>
          <w:color w:val="auto"/>
          <w:sz w:val="24"/>
        </w:rPr>
        <w:t xml:space="preserve">大写：人民币</w:t>
      </w:r>
      <w:r>
        <w:rPr>
          <w:rFonts w:ascii="SimSun" w:hAnsi="SimSun" w:eastAsia="SimSun" w:cs="SimSun"/>
          <w:color w:val="auto"/>
          <w:sz w:val="24"/>
          <w:u w:val="single"/>
        </w:rPr>
        <w:t xml:space="preserve">          </w:t>
      </w:r>
      <w:r>
        <w:rPr>
          <w:rFonts w:ascii="SimSun" w:hAnsi="SimSun" w:eastAsia="SimSun" w:cs="SimSun"/>
          <w:color w:val="auto"/>
          <w:sz w:val="24"/>
        </w:rPr>
        <w:t xml:space="preserve">。</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注</w:t>
      </w:r>
      <w:r>
        <w:rPr>
          <w:rFonts w:ascii="Times New Roman" w:hAnsi="Times New Roman" w:eastAsia="Times New Roman" w:cs="Times New Roman"/>
          <w:color w:val="auto"/>
          <w:sz w:val="24"/>
        </w:rPr>
        <w:t xml:space="preserve">:</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1</w:t>
      </w:r>
      <w:r>
        <w:rPr>
          <w:rFonts w:ascii="SimSun" w:hAnsi="SimSun" w:eastAsia="SimSun" w:cs="SimSun"/>
          <w:color w:val="auto"/>
          <w:sz w:val="24"/>
        </w:rPr>
        <w:t xml:space="preserve">、付款条件一中，出具预付款保函后支付的合同款应当与保函金额一致。</w:t>
      </w:r>
      <w:r>
        <w:rPr>
          <w:color w:val="auto"/>
        </w:rPr>
      </w:r>
      <w:r/>
    </w:p>
    <w:p>
      <w:pPr>
        <w:ind w:left="0" w:right="0" w:firstLine="480"/>
        <w:spacing w:before="0" w:after="0" w:line="312"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4"/>
        </w:rPr>
        <w:t xml:space="preserve">2</w:t>
      </w:r>
      <w:r>
        <w:rPr>
          <w:rFonts w:ascii="SimSun" w:hAnsi="SimSun" w:eastAsia="SimSun" w:cs="SimSun"/>
          <w:color w:val="auto"/>
          <w:sz w:val="24"/>
        </w:rPr>
        <w:t xml:space="preserve">、付款条件二中，预付款比例设定应符合《关于做好政府采购支持企业发展有关事项的通知》</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苏财购〔</w:t>
      </w:r>
      <w:r>
        <w:rPr>
          <w:rFonts w:ascii="Times New Roman" w:hAnsi="Times New Roman" w:eastAsia="Times New Roman" w:cs="Times New Roman"/>
          <w:color w:val="auto"/>
          <w:sz w:val="24"/>
        </w:rPr>
        <w:t xml:space="preserve">2020</w:t>
      </w:r>
      <w:r>
        <w:rPr>
          <w:rFonts w:ascii="SimSun" w:hAnsi="SimSun" w:eastAsia="SimSun" w:cs="SimSun"/>
          <w:color w:val="auto"/>
          <w:sz w:val="24"/>
        </w:rPr>
        <w:t xml:space="preserve">〕</w:t>
      </w:r>
      <w:r>
        <w:rPr>
          <w:rFonts w:ascii="Times New Roman" w:hAnsi="Times New Roman" w:eastAsia="Times New Roman" w:cs="Times New Roman"/>
          <w:color w:val="auto"/>
          <w:sz w:val="24"/>
        </w:rPr>
        <w:t xml:space="preserve">52</w:t>
      </w:r>
      <w:r>
        <w:rPr>
          <w:rFonts w:ascii="SimSun" w:hAnsi="SimSun" w:eastAsia="SimSun" w:cs="SimSun"/>
          <w:color w:val="auto"/>
          <w:sz w:val="24"/>
        </w:rPr>
        <w:t xml:space="preserve">号</w:t>
      </w:r>
      <w:r>
        <w:rPr>
          <w:rFonts w:ascii="Times New Roman" w:hAnsi="Times New Roman" w:eastAsia="Times New Roman" w:cs="Times New Roman"/>
          <w:color w:val="auto"/>
          <w:sz w:val="24"/>
        </w:rPr>
        <w:t xml:space="preserve">)</w:t>
      </w:r>
      <w:r>
        <w:rPr>
          <w:rFonts w:ascii="SimSun" w:hAnsi="SimSun" w:eastAsia="SimSun" w:cs="SimSun"/>
          <w:color w:val="auto"/>
          <w:sz w:val="24"/>
        </w:rPr>
        <w:t xml:space="preserve">要求。</w:t>
      </w:r>
      <w:r>
        <w:rPr>
          <w:color w:val="auto"/>
        </w:rPr>
      </w:r>
      <w:r/>
    </w:p>
    <w:p>
      <w:pPr>
        <w:rPr>
          <w:color w:val="auto"/>
        </w:rPr>
      </w:pPr>
      <w:r>
        <w:rPr>
          <w:color w:val="auto"/>
        </w:rPr>
      </w:r>
      <w:r>
        <w:rPr>
          <w:color w:val="auto"/>
        </w:rP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imHei">
    <w:panose1 w:val="02010609060101010101"/>
  </w:font>
  <w:font w:name="FangSong">
    <w:panose1 w:val="02010609060101010101"/>
  </w:font>
  <w:font w:name="Calibri">
    <w:panose1 w:val="020F0502020204030204"/>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
      <w:lvlJc w:val="left"/>
      <w:pPr>
        <w:ind w:left="0" w:firstLine="40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quot;&quot;"/>
      <w:lvlJc w:val="left"/>
      <w:pPr>
        <w:ind w:left="720" w:hanging="360"/>
      </w:pPr>
      <w:rPr>
        <w:rFonts w:hint="default" w:ascii="Symbol" w:hAnsi="Symbol" w:eastAsia="Symbol" w:cs="Symbol"/>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Wingdings" w:hAnsi="Wingdings" w:eastAsia="Wingdings" w:cs="Wingdings"/>
      </w:rPr>
    </w:lvl>
    <w:lvl w:ilvl="4">
      <w:start w:val="1"/>
      <w:numFmt w:val="bullet"/>
      <w:isLgl w:val="false"/>
      <w:suff w:val="tab"/>
      <w:lvlText w:val="&quot;&quot;"/>
      <w:lvlJc w:val="left"/>
      <w:pPr>
        <w:ind w:left="3600" w:hanging="360"/>
      </w:pPr>
      <w:rPr>
        <w:rFonts w:hint="default" w:ascii="Wingdings" w:hAnsi="Wingdings" w:eastAsia="Wingdings" w:cs="Wingdings"/>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Wingdings" w:hAnsi="Wingdings" w:eastAsia="Wingdings" w:cs="Wingdings"/>
      </w:rPr>
    </w:lvl>
    <w:lvl w:ilvl="7">
      <w:start w:val="1"/>
      <w:numFmt w:val="bullet"/>
      <w:isLgl w:val="false"/>
      <w:suff w:val="tab"/>
      <w:lvlText w:val="&quot;&quot;"/>
      <w:lvlJc w:val="left"/>
      <w:pPr>
        <w:ind w:left="5760" w:hanging="360"/>
      </w:pPr>
      <w:rPr>
        <w:rFonts w:hint="default" w:ascii="Wingdings" w:hAnsi="Wingdings" w:eastAsia="Wingdings" w:cs="Wingdings"/>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0">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name w:val="Heading 1"/>
    <w:link w:val="659"/>
    <w:uiPriority w:val="9"/>
    <w:qFormat/>
    <w:pPr>
      <w:keepLines/>
      <w:keepNext/>
      <w:spacing w:before="480" w:after="200"/>
      <w:outlineLvl w:val="0"/>
    </w:pPr>
    <w:rPr>
      <w:rFonts w:ascii="Arial" w:hAnsi="Arial" w:eastAsia="Arial" w:cs="Arial"/>
      <w:sz w:val="40"/>
      <w:szCs w:val="40"/>
    </w:rPr>
  </w:style>
  <w:style w:type="character" w:styleId="659">
    <w:name w:val="Heading 1 Char"/>
    <w:link w:val="658"/>
    <w:uiPriority w:val="9"/>
    <w:rPr>
      <w:rFonts w:ascii="Arial" w:hAnsi="Arial" w:eastAsia="Arial" w:cs="Arial"/>
      <w:sz w:val="40"/>
      <w:szCs w:val="40"/>
    </w:rPr>
  </w:style>
  <w:style w:type="paragraph" w:styleId="660">
    <w:name w:val="Heading 2"/>
    <w:link w:val="661"/>
    <w:uiPriority w:val="9"/>
    <w:unhideWhenUsed/>
    <w:qFormat/>
    <w:pPr>
      <w:keepLines/>
      <w:keepNext/>
      <w:spacing w:before="360" w:after="200"/>
      <w:outlineLvl w:val="1"/>
    </w:pPr>
    <w:rPr>
      <w:rFonts w:ascii="Arial" w:hAnsi="Arial" w:eastAsia="Arial" w:cs="Arial"/>
      <w:sz w:val="34"/>
    </w:rPr>
  </w:style>
  <w:style w:type="character" w:styleId="661">
    <w:name w:val="Heading 2 Char"/>
    <w:link w:val="660"/>
    <w:uiPriority w:val="9"/>
    <w:rPr>
      <w:rFonts w:ascii="Arial" w:hAnsi="Arial" w:eastAsia="Arial" w:cs="Arial"/>
      <w:sz w:val="34"/>
    </w:rPr>
  </w:style>
  <w:style w:type="paragraph" w:styleId="662">
    <w:name w:val="Heading 3"/>
    <w:link w:val="663"/>
    <w:uiPriority w:val="9"/>
    <w:unhideWhenUsed/>
    <w:qFormat/>
    <w:pPr>
      <w:keepLines/>
      <w:keepNext/>
      <w:spacing w:before="320" w:after="200"/>
      <w:outlineLvl w:val="2"/>
    </w:pPr>
    <w:rPr>
      <w:rFonts w:ascii="Arial" w:hAnsi="Arial" w:eastAsia="Arial" w:cs="Arial"/>
      <w:sz w:val="30"/>
      <w:szCs w:val="30"/>
    </w:rPr>
  </w:style>
  <w:style w:type="character" w:styleId="663">
    <w:name w:val="Heading 3 Char"/>
    <w:link w:val="662"/>
    <w:uiPriority w:val="9"/>
    <w:rPr>
      <w:rFonts w:ascii="Arial" w:hAnsi="Arial" w:eastAsia="Arial" w:cs="Arial"/>
      <w:sz w:val="30"/>
      <w:szCs w:val="30"/>
    </w:rPr>
  </w:style>
  <w:style w:type="paragraph" w:styleId="664">
    <w:name w:val="Heading 4"/>
    <w:link w:val="665"/>
    <w:uiPriority w:val="9"/>
    <w:unhideWhenUsed/>
    <w:qFormat/>
    <w:pPr>
      <w:keepLines/>
      <w:keepNext/>
      <w:spacing w:before="320" w:after="200"/>
      <w:outlineLvl w:val="3"/>
    </w:pPr>
    <w:rPr>
      <w:rFonts w:ascii="Arial" w:hAnsi="Arial" w:eastAsia="Arial" w:cs="Arial"/>
      <w:b/>
      <w:bCs/>
      <w:sz w:val="26"/>
      <w:szCs w:val="26"/>
    </w:rPr>
  </w:style>
  <w:style w:type="character" w:styleId="665">
    <w:name w:val="Heading 4 Char"/>
    <w:link w:val="664"/>
    <w:uiPriority w:val="9"/>
    <w:rPr>
      <w:rFonts w:ascii="Arial" w:hAnsi="Arial" w:eastAsia="Arial" w:cs="Arial"/>
      <w:b/>
      <w:bCs/>
      <w:sz w:val="26"/>
      <w:szCs w:val="26"/>
    </w:rPr>
  </w:style>
  <w:style w:type="paragraph" w:styleId="666">
    <w:name w:val="Heading 5"/>
    <w:link w:val="667"/>
    <w:uiPriority w:val="9"/>
    <w:unhideWhenUsed/>
    <w:qFormat/>
    <w:pPr>
      <w:keepLines/>
      <w:keepNext/>
      <w:spacing w:before="320" w:after="200"/>
      <w:outlineLvl w:val="4"/>
    </w:pPr>
    <w:rPr>
      <w:rFonts w:ascii="Arial" w:hAnsi="Arial" w:eastAsia="Arial" w:cs="Arial"/>
      <w:b/>
      <w:bCs/>
      <w:sz w:val="24"/>
      <w:szCs w:val="24"/>
    </w:rPr>
  </w:style>
  <w:style w:type="character" w:styleId="667">
    <w:name w:val="Heading 5 Char"/>
    <w:link w:val="666"/>
    <w:uiPriority w:val="9"/>
    <w:rPr>
      <w:rFonts w:ascii="Arial" w:hAnsi="Arial" w:eastAsia="Arial" w:cs="Arial"/>
      <w:b/>
      <w:bCs/>
      <w:sz w:val="24"/>
      <w:szCs w:val="24"/>
    </w:rPr>
  </w:style>
  <w:style w:type="paragraph" w:styleId="668">
    <w:name w:val="Heading 6"/>
    <w:link w:val="669"/>
    <w:uiPriority w:val="9"/>
    <w:unhideWhenUsed/>
    <w:qFormat/>
    <w:pPr>
      <w:keepLines/>
      <w:keepNext/>
      <w:spacing w:before="320" w:after="200"/>
      <w:outlineLvl w:val="5"/>
    </w:pPr>
    <w:rPr>
      <w:rFonts w:ascii="Arial" w:hAnsi="Arial" w:eastAsia="Arial" w:cs="Arial"/>
      <w:b/>
      <w:bCs/>
      <w:sz w:val="22"/>
      <w:szCs w:val="22"/>
    </w:rPr>
  </w:style>
  <w:style w:type="character" w:styleId="669">
    <w:name w:val="Heading 6 Char"/>
    <w:link w:val="668"/>
    <w:uiPriority w:val="9"/>
    <w:rPr>
      <w:rFonts w:ascii="Arial" w:hAnsi="Arial" w:eastAsia="Arial" w:cs="Arial"/>
      <w:b/>
      <w:bCs/>
      <w:sz w:val="22"/>
      <w:szCs w:val="22"/>
    </w:rPr>
  </w:style>
  <w:style w:type="paragraph" w:styleId="670">
    <w:name w:val="Heading 7"/>
    <w:link w:val="671"/>
    <w:uiPriority w:val="9"/>
    <w:unhideWhenUsed/>
    <w:qFormat/>
    <w:pPr>
      <w:keepLines/>
      <w:keepNext/>
      <w:spacing w:before="320" w:after="200"/>
      <w:outlineLvl w:val="6"/>
    </w:pPr>
    <w:rPr>
      <w:rFonts w:ascii="Arial" w:hAnsi="Arial" w:eastAsia="Arial" w:cs="Arial"/>
      <w:b/>
      <w:bCs/>
      <w:i/>
      <w:iCs/>
      <w:sz w:val="22"/>
      <w:szCs w:val="22"/>
    </w:rPr>
  </w:style>
  <w:style w:type="character" w:styleId="671">
    <w:name w:val="Heading 7 Char"/>
    <w:link w:val="670"/>
    <w:uiPriority w:val="9"/>
    <w:rPr>
      <w:rFonts w:ascii="Arial" w:hAnsi="Arial" w:eastAsia="Arial" w:cs="Arial"/>
      <w:b/>
      <w:bCs/>
      <w:i/>
      <w:iCs/>
      <w:sz w:val="22"/>
      <w:szCs w:val="22"/>
    </w:rPr>
  </w:style>
  <w:style w:type="paragraph" w:styleId="672">
    <w:name w:val="Heading 8"/>
    <w:link w:val="673"/>
    <w:uiPriority w:val="9"/>
    <w:unhideWhenUsed/>
    <w:qFormat/>
    <w:pPr>
      <w:keepLines/>
      <w:keepNext/>
      <w:spacing w:before="320" w:after="200"/>
      <w:outlineLvl w:val="7"/>
    </w:pPr>
    <w:rPr>
      <w:rFonts w:ascii="Arial" w:hAnsi="Arial" w:eastAsia="Arial" w:cs="Arial"/>
      <w:i/>
      <w:iCs/>
      <w:sz w:val="22"/>
      <w:szCs w:val="22"/>
    </w:rPr>
  </w:style>
  <w:style w:type="character" w:styleId="673">
    <w:name w:val="Heading 8 Char"/>
    <w:link w:val="672"/>
    <w:uiPriority w:val="9"/>
    <w:rPr>
      <w:rFonts w:ascii="Arial" w:hAnsi="Arial" w:eastAsia="Arial" w:cs="Arial"/>
      <w:i/>
      <w:iCs/>
      <w:sz w:val="22"/>
      <w:szCs w:val="22"/>
    </w:rPr>
  </w:style>
  <w:style w:type="paragraph" w:styleId="674">
    <w:name w:val="Heading 9"/>
    <w:link w:val="675"/>
    <w:uiPriority w:val="9"/>
    <w:unhideWhenUsed/>
    <w:qFormat/>
    <w:pPr>
      <w:keepLines/>
      <w:keepNext/>
      <w:spacing w:before="320" w:after="200"/>
      <w:outlineLvl w:val="8"/>
    </w:pPr>
    <w:rPr>
      <w:rFonts w:ascii="Arial" w:hAnsi="Arial" w:eastAsia="Arial" w:cs="Arial"/>
      <w:i/>
      <w:iCs/>
      <w:sz w:val="21"/>
      <w:szCs w:val="21"/>
    </w:rPr>
  </w:style>
  <w:style w:type="character" w:styleId="675">
    <w:name w:val="Heading 9 Char"/>
    <w:link w:val="674"/>
    <w:uiPriority w:val="9"/>
    <w:rPr>
      <w:rFonts w:ascii="Arial" w:hAnsi="Arial" w:eastAsia="Arial" w:cs="Arial"/>
      <w:i/>
      <w:iCs/>
      <w:sz w:val="21"/>
      <w:szCs w:val="21"/>
    </w:rPr>
  </w:style>
  <w:style w:type="paragraph" w:styleId="676">
    <w:name w:val="List Paragraph"/>
    <w:uiPriority w:val="34"/>
    <w:qFormat/>
    <w:pPr>
      <w:contextualSpacing/>
      <w:ind w:left="720"/>
    </w:pPr>
  </w:style>
  <w:style w:type="paragraph" w:styleId="677">
    <w:name w:val="No Spacing"/>
    <w:uiPriority w:val="1"/>
    <w:qFormat/>
    <w:pPr>
      <w:spacing w:before="0" w:after="0" w:line="240" w:lineRule="auto"/>
    </w:pPr>
  </w:style>
  <w:style w:type="paragraph" w:styleId="678">
    <w:name w:val="Title"/>
    <w:link w:val="679"/>
    <w:uiPriority w:val="10"/>
    <w:qFormat/>
    <w:pPr>
      <w:contextualSpacing/>
      <w:spacing w:before="300" w:after="200"/>
    </w:pPr>
    <w:rPr>
      <w:sz w:val="48"/>
      <w:szCs w:val="48"/>
    </w:rPr>
  </w:style>
  <w:style w:type="character" w:styleId="679">
    <w:name w:val="Title Char"/>
    <w:link w:val="678"/>
    <w:uiPriority w:val="10"/>
    <w:rPr>
      <w:sz w:val="48"/>
      <w:szCs w:val="48"/>
    </w:rPr>
  </w:style>
  <w:style w:type="paragraph" w:styleId="680">
    <w:name w:val="Subtitle"/>
    <w:link w:val="681"/>
    <w:uiPriority w:val="11"/>
    <w:qFormat/>
    <w:pPr>
      <w:spacing w:before="200" w:after="200"/>
    </w:pPr>
    <w:rPr>
      <w:sz w:val="24"/>
      <w:szCs w:val="24"/>
    </w:rPr>
  </w:style>
  <w:style w:type="character" w:styleId="681">
    <w:name w:val="Subtitle Char"/>
    <w:link w:val="680"/>
    <w:uiPriority w:val="11"/>
    <w:rPr>
      <w:sz w:val="24"/>
      <w:szCs w:val="24"/>
    </w:rPr>
  </w:style>
  <w:style w:type="paragraph" w:styleId="682">
    <w:name w:val="Quote"/>
    <w:link w:val="683"/>
    <w:uiPriority w:val="29"/>
    <w:qFormat/>
    <w:pPr>
      <w:ind w:left="720" w:right="720"/>
    </w:pPr>
    <w:rPr>
      <w:i/>
    </w:rPr>
  </w:style>
  <w:style w:type="character" w:styleId="683">
    <w:name w:val="Quote Char"/>
    <w:link w:val="682"/>
    <w:uiPriority w:val="29"/>
    <w:rPr>
      <w:i/>
    </w:rPr>
  </w:style>
  <w:style w:type="paragraph" w:styleId="684">
    <w:name w:val="Intense Quote"/>
    <w:link w:val="6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5">
    <w:name w:val="Intense Quote Char"/>
    <w:link w:val="684"/>
    <w:uiPriority w:val="30"/>
    <w:rPr>
      <w:i/>
    </w:rPr>
  </w:style>
  <w:style w:type="paragraph" w:styleId="686">
    <w:name w:val="Header"/>
    <w:link w:val="687"/>
    <w:uiPriority w:val="99"/>
    <w:unhideWhenUsed/>
    <w:pPr>
      <w:spacing w:after="0" w:line="240" w:lineRule="auto"/>
      <w:tabs>
        <w:tab w:val="center" w:pos="7143" w:leader="none"/>
        <w:tab w:val="right" w:pos="14287" w:leader="none"/>
      </w:tabs>
    </w:pPr>
  </w:style>
  <w:style w:type="character" w:styleId="687">
    <w:name w:val="Header Char"/>
    <w:link w:val="686"/>
    <w:uiPriority w:val="99"/>
  </w:style>
  <w:style w:type="paragraph" w:styleId="688">
    <w:name w:val="Footer"/>
    <w:link w:val="691"/>
    <w:uiPriority w:val="99"/>
    <w:unhideWhenUsed/>
    <w:pPr>
      <w:spacing w:after="0" w:line="240" w:lineRule="auto"/>
      <w:tabs>
        <w:tab w:val="center" w:pos="7143" w:leader="none"/>
        <w:tab w:val="right" w:pos="14287" w:leader="none"/>
      </w:tabs>
    </w:pPr>
  </w:style>
  <w:style w:type="character" w:styleId="689">
    <w:name w:val="Footer Char"/>
    <w:link w:val="688"/>
    <w:uiPriority w:val="99"/>
  </w:style>
  <w:style w:type="paragraph" w:styleId="690">
    <w:name w:val="Caption"/>
    <w:uiPriority w:val="35"/>
    <w:semiHidden/>
    <w:unhideWhenUsed/>
    <w:qFormat/>
    <w:pPr>
      <w:spacing w:line="276" w:lineRule="auto"/>
    </w:pPr>
    <w:rPr>
      <w:b/>
      <w:bCs/>
      <w:color w:val="4f81bd" w:themeColor="accent1"/>
      <w:sz w:val="18"/>
      <w:szCs w:val="18"/>
    </w:rPr>
  </w:style>
  <w:style w:type="character" w:styleId="691">
    <w:name w:val="Caption Char"/>
    <w:basedOn w:val="690"/>
    <w:link w:val="688"/>
    <w:uiPriority w:val="99"/>
  </w:style>
  <w:style w:type="table" w:styleId="69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8">
    <w:name w:val="Hyperlink"/>
    <w:uiPriority w:val="99"/>
    <w:unhideWhenUsed/>
    <w:rPr>
      <w:color w:val="0000ff" w:themeColor="hyperlink"/>
      <w:u w:val="single"/>
    </w:rPr>
  </w:style>
  <w:style w:type="paragraph" w:styleId="819">
    <w:name w:val="footnote text"/>
    <w:link w:val="820"/>
    <w:uiPriority w:val="99"/>
    <w:semiHidden/>
    <w:unhideWhenUsed/>
    <w:pPr>
      <w:spacing w:after="40" w:line="240" w:lineRule="auto"/>
    </w:pPr>
    <w:rPr>
      <w:sz w:val="18"/>
    </w:rPr>
  </w:style>
  <w:style w:type="character" w:styleId="820">
    <w:name w:val="Footnote Text Char"/>
    <w:link w:val="819"/>
    <w:uiPriority w:val="99"/>
    <w:rPr>
      <w:sz w:val="18"/>
    </w:rPr>
  </w:style>
  <w:style w:type="character" w:styleId="821">
    <w:name w:val="footnote reference"/>
    <w:uiPriority w:val="99"/>
    <w:unhideWhenUsed/>
    <w:rPr>
      <w:vertAlign w:val="superscript"/>
    </w:rPr>
  </w:style>
  <w:style w:type="paragraph" w:styleId="822">
    <w:name w:val="endnote text"/>
    <w:link w:val="823"/>
    <w:uiPriority w:val="99"/>
    <w:semiHidden/>
    <w:unhideWhenUsed/>
    <w:pPr>
      <w:spacing w:after="0" w:line="240" w:lineRule="auto"/>
    </w:pPr>
    <w:rPr>
      <w:sz w:val="20"/>
    </w:rPr>
  </w:style>
  <w:style w:type="character" w:styleId="823">
    <w:name w:val="Endnote Text Char"/>
    <w:link w:val="822"/>
    <w:uiPriority w:val="99"/>
    <w:rPr>
      <w:sz w:val="20"/>
    </w:rPr>
  </w:style>
  <w:style w:type="character" w:styleId="824">
    <w:name w:val="endnote reference"/>
    <w:uiPriority w:val="99"/>
    <w:semiHidden/>
    <w:unhideWhenUsed/>
    <w:rPr>
      <w:vertAlign w:val="superscript"/>
    </w:rPr>
  </w:style>
  <w:style w:type="paragraph" w:styleId="825">
    <w:name w:val="toc 1"/>
    <w:uiPriority w:val="39"/>
    <w:unhideWhenUsed/>
    <w:pPr>
      <w:ind w:left="0" w:right="0" w:firstLine="0"/>
      <w:spacing w:after="57"/>
    </w:pPr>
  </w:style>
  <w:style w:type="paragraph" w:styleId="826">
    <w:name w:val="toc 2"/>
    <w:uiPriority w:val="39"/>
    <w:unhideWhenUsed/>
    <w:pPr>
      <w:ind w:left="283" w:right="0" w:firstLine="0"/>
      <w:spacing w:after="57"/>
    </w:pPr>
  </w:style>
  <w:style w:type="paragraph" w:styleId="827">
    <w:name w:val="toc 3"/>
    <w:uiPriority w:val="39"/>
    <w:unhideWhenUsed/>
    <w:pPr>
      <w:ind w:left="567" w:right="0" w:firstLine="0"/>
      <w:spacing w:after="57"/>
    </w:pPr>
  </w:style>
  <w:style w:type="paragraph" w:styleId="828">
    <w:name w:val="toc 4"/>
    <w:uiPriority w:val="39"/>
    <w:unhideWhenUsed/>
    <w:pPr>
      <w:ind w:left="850" w:right="0" w:firstLine="0"/>
      <w:spacing w:after="57"/>
    </w:pPr>
  </w:style>
  <w:style w:type="paragraph" w:styleId="829">
    <w:name w:val="toc 5"/>
    <w:uiPriority w:val="39"/>
    <w:unhideWhenUsed/>
    <w:pPr>
      <w:ind w:left="1134" w:right="0" w:firstLine="0"/>
      <w:spacing w:after="57"/>
    </w:pPr>
  </w:style>
  <w:style w:type="paragraph" w:styleId="830">
    <w:name w:val="toc 6"/>
    <w:uiPriority w:val="39"/>
    <w:unhideWhenUsed/>
    <w:pPr>
      <w:ind w:left="1417" w:right="0" w:firstLine="0"/>
      <w:spacing w:after="57"/>
    </w:pPr>
  </w:style>
  <w:style w:type="paragraph" w:styleId="831">
    <w:name w:val="toc 7"/>
    <w:uiPriority w:val="39"/>
    <w:unhideWhenUsed/>
    <w:pPr>
      <w:ind w:left="1701" w:right="0" w:firstLine="0"/>
      <w:spacing w:after="57"/>
    </w:pPr>
  </w:style>
  <w:style w:type="paragraph" w:styleId="832">
    <w:name w:val="toc 8"/>
    <w:uiPriority w:val="39"/>
    <w:unhideWhenUsed/>
    <w:pPr>
      <w:ind w:left="1984" w:right="0" w:firstLine="0"/>
      <w:spacing w:after="57"/>
    </w:pPr>
  </w:style>
  <w:style w:type="paragraph" w:styleId="833">
    <w:name w:val="toc 9"/>
    <w:uiPriority w:val="39"/>
    <w:unhideWhenUsed/>
    <w:pPr>
      <w:ind w:left="2268" w:right="0" w:firstLine="0"/>
      <w:spacing w:after="57"/>
    </w:pPr>
  </w:style>
  <w:style w:type="paragraph" w:styleId="834">
    <w:name w:val="TOC Heading"/>
    <w:uiPriority w:val="39"/>
    <w:unhideWhenUsed/>
  </w:style>
  <w:style w:type="paragraph" w:styleId="835">
    <w:name w:val="table of figures"/>
    <w:uiPriority w:val="99"/>
    <w:unhideWhenUsed/>
    <w:pPr>
      <w:spacing w:after="0" w:afterAutospacing="0"/>
    </w:pPr>
  </w:style>
  <w:style w:type="character" w:styleId="836" w:default="1">
    <w:name w:val="Default Paragraph Font"/>
    <w:uiPriority w:val="1"/>
    <w:semiHidden/>
    <w:unhideWhenUsed/>
  </w:style>
  <w:style w:type="numbering" w:styleId="837" w:default="1">
    <w:name w:val="No List"/>
    <w:uiPriority w:val="99"/>
    <w:semiHidden/>
    <w:unhideWhenUsed/>
  </w:style>
  <w:style w:type="paragraph" w:styleId="838" w:default="1">
    <w:name w:val="Normal"/>
    <w:qFormat/>
  </w:style>
  <w:style w:type="table" w:styleId="8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996"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96"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411"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74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807"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30"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56" TargetMode="External"/><Relationship Id="rId17" Type="http://schemas.openxmlformats.org/officeDocument/2006/relationships/hyperlink" Target="http://www.creditchina.gov.cn/" TargetMode="External"/><Relationship Id="rId18" Type="http://schemas.openxmlformats.org/officeDocument/2006/relationships/hyperlink" Target="http://www.ccgp.gov.cn/" TargetMode="External"/><Relationship Id="rId19" Type="http://schemas.openxmlformats.org/officeDocument/2006/relationships/hyperlink" Target="http://www.xuzhoucredit.gov.cn/" TargetMode="External"/><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陈珂</cp:lastModifiedBy>
  <cp:revision>3</cp:revision>
  <dcterms:created xsi:type="dcterms:W3CDTF">2025-12-02T06:09:15Z</dcterms:created>
  <dcterms:modified xsi:type="dcterms:W3CDTF">2025-12-04T00:51:25Z</dcterms:modified>
</cp:coreProperties>
</file>